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C867F" Type="http://schemas.openxmlformats.org/officeDocument/2006/relationships/officeDocument" Target="/word/document.xml" /><Relationship Id="coreR7FBC867F" Type="http://schemas.openxmlformats.org/package/2006/relationships/metadata/core-properties" Target="/docProps/core.xml" /><Relationship Id="customR7FBC86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plánů kontroly jakosti keramických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keramické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Kvalitativní zkoušky surovin, materiálů, polotovarů a výrobků v keramické výrobě, kritérium a), b), c) autorizovaná osoba zadá uchazeči jednu konkrétní funkční zkoušku (měření smrštění nebo vysušeného nebo vypáleného střepu). AOS má k dispozici minimálně 3 sady vzorků na měření smrštění nevypáleného střepu, smrštění výpalem a laboratorní vzorky výrobní hmoty – viz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Kvalitativní zkoušky surovin, materiálů, polotovarů a výrobků v keramické výrobě, kritérium e); autorizovaná osoba připraví soubor vyhodnotitelných dat o kontrolním měření (např. četnost výskytu rozměrových vad, vzhledových vad). K vypracování tohoto úkolu má uchazeč k dispozici PC s nainstalovaným kancelářským SW Microsoft Office, obsahující textový editor WORD, tabulkový procesor Excel a Power Point. Výsledky uchazeč zapíše do tabulkového procesoru a vyjádří je graficky.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Kontrola dodržování technologických postupů v keramické výrobě, kritérium d) autorizovaná osoba zaměří výběr otázek podle typu keramické výroby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Vstupní, výstupní a mezioperační kontrola surovin, materiálů, polotovarů a výrobků v keramické výrobě, kritérium d), AOS určí druh keramického výrobku, ke kterému se budou vztahovat zadané úkoly podle zaměření konkrétní keramické výroby a místa konání zkoušky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d); u kompetence Vypracování protokolů o výsledcích kontrol v keramické výrobě, kritérium c); u kompetence Uplatňování a vyřizování reklamací v keramické výrobě (včetně zjišťování závad), kritérium a), b), c) může autorizovaná osoba využít standardizované dokumenty (formuláře) z reálného provozu podle typu keramické výroby.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b), se bude vztahovat zadaný úkol k zaměření konkrétní keramické výroby a místu konání zkoušky (např. výroba užitkové keramiky, porcelánu, obkladaček, sanitární keramiky, žáromateriálů, stavební keramiky).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Analyzování vlivů působících na užitné vlastnosti surovin, materiálů, polotovarů a výrobků v keramické výrobě, kritérium f); Uplatňování a vyřizování reklamací v keramické výrobě (včetně zjišťování závad), kritérium a), c); Kontrola dodržování technologických postupů v keramické výrobě, kritérium c); připraví autorizovaná osoba modelovou situaci v návaznosti na ověřované postupy.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Thun a.s.,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