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553F23" Type="http://schemas.openxmlformats.org/officeDocument/2006/relationships/officeDocument" Target="/word/document.xml" /><Relationship Id="coreR40553F23" Type="http://schemas.openxmlformats.org/package/2006/relationships/metadata/core-properties" Target="/docProps/core.xml" /><Relationship Id="customR40553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 technických normách a legislativě v oboru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20.10.2026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orientace v technických normách a legislativě v oboru vodovodů a kanalizací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Objasnit rozdělení měřidel podle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vodoměrů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modelovou situaci vodoměrné sestavy pro bytový, domovní a průmyslový vodoměr uvedené na trh podle různých způsobů uvedení na trh. Pro zkoušku vybere autorizovaná osoba vodoměry uvedené na trh podle dvou způsobů (podle zákona č. 505/1990 Sb., v platném znění - národní, EHS a podle zákona č. 22/1997 Sb., v platném znění - CE).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modelovém případu provést sestavení vodoměrné sestavy včetně vodoměru a montážních plomb a popsat její části. AOs a připraví minimálně 3 modelové situace sestav, z nichž 1 sestavu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Poradenská činnost zákazníkům v oblasti měření spotřeby vody a fakturace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pro modelové situace vodoměrné sestavy pro bytový, domovní a průmyslový vodoměr uvedené na trh podle různých způsobů uvedení na trh. Dále AOs připraví minimálně 3 vzorové faktury za vodné a stočné, z nichž jednu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řešení, resp. komunikaci v případě konfliktní situace se zákazníkem, a to v případech, kdy: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nevpustí do objektu, neumožní revizní výměnu vodoměru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nesouhlasí s hodnotou odečtu a žádá o přezkoušení podle zákona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Poškození metrologických či montážních plomb, měřidlo evidentně poškozené mrazem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Stojící vodoměr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vybere jednu z výše uvedených modelových situací.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Dodržování BOZP při činnostech spojených s odečtem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zachycovací celotělový postroj, přenosný osobní detektor ovzduší. Tato kompetence bude ověřena simulovaně v místnosti.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způsob použití zachycovacího postroje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činnosti při detekci kvality ovzduší jedné z variant (ve vodoměrných šachtách, kolektorech, kanalizacích apod.)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20.10.2026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vodoměrů, 20.10.2026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1A98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CE39C1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D8D8AA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9BEFE4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