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38E889" Type="http://schemas.openxmlformats.org/officeDocument/2006/relationships/officeDocument" Target="/word/document.xml" /><Relationship Id="coreR3038E889" Type="http://schemas.openxmlformats.org/package/2006/relationships/metadata/core-properties" Target="/docProps/core.xml" /><Relationship Id="customR3038E8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31.7.2026 11:39:20</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117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31.7.2026 11:39:20</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management a administrativu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pStyle w:val="P23"/>
        <w:framePr w:w="7654" w:h="331" w:hRule="exact" w:wrap="none" w:vAnchor="page" w:hAnchor="margin" w:x="28" w:y="15940"/>
        <w:rPr>
          <w:rStyle w:val="C16"/>
          <w:rtl w:val="0"/>
        </w:rPr>
      </w:pPr>
      <w:r>
        <w:rPr>
          <w:rStyle w:val="C16"/>
          <w:rtl w:val="0"/>
        </w:rPr>
        <w:t>Specialista/specialistka bezpečnostního a krizového řízení, 31.7.2026 11:39:20</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EB53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