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8A2DEF8" Type="http://schemas.openxmlformats.org/officeDocument/2006/relationships/officeDocument" Target="/word/document.xml" /><Relationship Id="coreR58A2DEF8" Type="http://schemas.openxmlformats.org/package/2006/relationships/metadata/core-properties" Target="/docProps/core.xml" /><Relationship Id="customR58A2DEF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Specialista/specialistka bezpečnostního a krizového řízení (kód: 68-022-T)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Bezpečnostní referent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2"/>
        <w:keepNext w:val="0"/>
        <w:keepLines w:val="0"/>
        <w:framePr w:w="9826" w:h="376" w:hRule="exact" w:wrap="none" w:vAnchor="page" w:hAnchor="margin" w:x="45"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Orientace v manažerském řízení bezpečnosti organizace</w:t>
      </w:r>
    </w:p>
    <w:p>
      <w:pPr>
        <w:pStyle w:val="P13"/>
        <w:framePr w:w="805" w:h="376" w:hRule="exact" w:wrap="none" w:vAnchor="page" w:hAnchor="margin" w:x="9916" w:y="5620"/>
        <w:rPr>
          <w:rStyle w:val="C3"/>
          <w:rtl w:val="0"/>
        </w:rPr>
      </w:pPr>
    </w:p>
    <w:p>
      <w:pPr>
        <w:pStyle w:val="P14"/>
        <w:framePr w:w="723" w:h="249" w:hRule="exact" w:wrap="none" w:vAnchor="page" w:hAnchor="margin" w:x="9972" w:y="5676"/>
        <w:rPr>
          <w:rStyle w:val="C11"/>
          <w:rtl w:val="0"/>
        </w:rPr>
      </w:pPr>
      <w:r>
        <w:rPr>
          <w:rStyle w:val="C11"/>
          <w:rtl w:val="0"/>
        </w:rPr>
        <w:t>6</w:t>
      </w:r>
    </w:p>
    <w:p>
      <w:pPr>
        <w:pStyle w:val="P15"/>
        <w:framePr w:w="9826" w:h="376" w:hRule="exact" w:wrap="none" w:vAnchor="page" w:hAnchor="margin" w:x="45" w:y="5996"/>
        <w:rPr>
          <w:rStyle w:val="C3"/>
          <w:rtl w:val="0"/>
        </w:rPr>
      </w:pPr>
    </w:p>
    <w:p>
      <w:pPr>
        <w:pStyle w:val="P15"/>
        <w:keepNext w:val="0"/>
        <w:keepLines w:val="0"/>
        <w:framePr w:w="9826" w:h="376" w:hRule="exact" w:wrap="none" w:vAnchor="page" w:hAnchor="margin" w:x="45" w:y="5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Orientace v právních a odborných normách v oblasti bezpečnosti a krizového řízení</w:t>
      </w:r>
    </w:p>
    <w:p>
      <w:pPr>
        <w:pStyle w:val="P16"/>
        <w:framePr w:w="805" w:h="376" w:hRule="exact" w:wrap="none" w:vAnchor="page" w:hAnchor="margin" w:x="9916" w:y="5996"/>
        <w:rPr>
          <w:rStyle w:val="C3"/>
          <w:rtl w:val="0"/>
        </w:rPr>
      </w:pPr>
    </w:p>
    <w:p>
      <w:pPr>
        <w:pStyle w:val="P17"/>
        <w:framePr w:w="723" w:h="249" w:hRule="exact" w:wrap="none" w:vAnchor="page" w:hAnchor="margin" w:x="9972" w:y="6052"/>
        <w:rPr>
          <w:rStyle w:val="C12"/>
          <w:rtl w:val="0"/>
        </w:rPr>
      </w:pPr>
      <w:r>
        <w:rPr>
          <w:rStyle w:val="C12"/>
          <w:rtl w:val="0"/>
        </w:rPr>
        <w:t>7</w:t>
      </w:r>
    </w:p>
    <w:p>
      <w:pPr>
        <w:pStyle w:val="P18"/>
        <w:framePr w:w="9826" w:h="376" w:hRule="exact" w:wrap="none" w:vAnchor="page" w:hAnchor="margin" w:x="45" w:y="6372"/>
        <w:rPr>
          <w:rStyle w:val="C3"/>
          <w:rtl w:val="0"/>
        </w:rPr>
      </w:pPr>
    </w:p>
    <w:p>
      <w:pPr>
        <w:pStyle w:val="P19"/>
        <w:framePr w:w="9774" w:h="249" w:hRule="exact" w:wrap="none" w:vAnchor="page" w:hAnchor="margin" w:x="71" w:y="6428"/>
        <w:rPr>
          <w:rStyle w:val="C13"/>
          <w:rtl w:val="0"/>
        </w:rPr>
      </w:pPr>
      <w:r>
        <w:rPr>
          <w:rStyle w:val="C13"/>
          <w:rtl w:val="0"/>
        </w:rPr>
        <w:t>Řízení bezpečnosti organizace</w:t>
      </w:r>
    </w:p>
    <w:p>
      <w:pPr>
        <w:pStyle w:val="P13"/>
        <w:framePr w:w="805" w:h="376" w:hRule="exact" w:wrap="none" w:vAnchor="page" w:hAnchor="margin" w:x="9916" w:y="6372"/>
        <w:rPr>
          <w:rStyle w:val="C3"/>
          <w:rtl w:val="0"/>
        </w:rPr>
      </w:pPr>
    </w:p>
    <w:p>
      <w:pPr>
        <w:pStyle w:val="P14"/>
        <w:framePr w:w="723" w:h="249" w:hRule="exact" w:wrap="none" w:vAnchor="page" w:hAnchor="margin" w:x="9972" w:y="6428"/>
        <w:rPr>
          <w:rStyle w:val="C11"/>
          <w:rtl w:val="0"/>
        </w:rPr>
      </w:pPr>
      <w:r>
        <w:rPr>
          <w:rStyle w:val="C11"/>
          <w:rtl w:val="0"/>
        </w:rPr>
        <w:t>7</w:t>
      </w:r>
    </w:p>
    <w:p>
      <w:pPr>
        <w:pStyle w:val="P20"/>
        <w:framePr w:w="9826" w:h="376" w:hRule="exact" w:wrap="none" w:vAnchor="page" w:hAnchor="margin" w:x="45" w:y="6748"/>
        <w:rPr>
          <w:rStyle w:val="C3"/>
          <w:rtl w:val="0"/>
        </w:rPr>
      </w:pPr>
    </w:p>
    <w:p>
      <w:pPr>
        <w:pStyle w:val="P21"/>
        <w:framePr w:w="9774" w:h="249" w:hRule="exact" w:wrap="none" w:vAnchor="page" w:hAnchor="margin" w:x="71" w:y="6804"/>
        <w:rPr>
          <w:rStyle w:val="C14"/>
          <w:rtl w:val="0"/>
        </w:rPr>
      </w:pPr>
      <w:r>
        <w:rPr>
          <w:rStyle w:val="C14"/>
          <w:rtl w:val="0"/>
        </w:rPr>
        <w:t>Zavádění krizového řízení, havarijního plánování a zachovávání kontinuity činnosti organizace</w:t>
      </w:r>
    </w:p>
    <w:p>
      <w:pPr>
        <w:pStyle w:val="P16"/>
        <w:framePr w:w="805" w:h="376" w:hRule="exact" w:wrap="none" w:vAnchor="page" w:hAnchor="margin" w:x="9916" w:y="6748"/>
        <w:rPr>
          <w:rStyle w:val="C3"/>
          <w:rtl w:val="0"/>
        </w:rPr>
      </w:pPr>
    </w:p>
    <w:p>
      <w:pPr>
        <w:pStyle w:val="P17"/>
        <w:framePr w:w="723" w:h="249" w:hRule="exact" w:wrap="none" w:vAnchor="page" w:hAnchor="margin" w:x="9972" w:y="6804"/>
        <w:rPr>
          <w:rStyle w:val="C12"/>
          <w:rtl w:val="0"/>
        </w:rPr>
      </w:pPr>
      <w:r>
        <w:rPr>
          <w:rStyle w:val="C12"/>
          <w:rtl w:val="0"/>
        </w:rPr>
        <w:t>7</w:t>
      </w:r>
    </w:p>
    <w:p>
      <w:pPr>
        <w:pStyle w:val="P18"/>
        <w:framePr w:w="9826" w:h="376" w:hRule="exact" w:wrap="none" w:vAnchor="page" w:hAnchor="margin" w:x="45" w:y="7124"/>
        <w:rPr>
          <w:rStyle w:val="C3"/>
          <w:rtl w:val="0"/>
        </w:rPr>
      </w:pPr>
    </w:p>
    <w:p>
      <w:pPr>
        <w:pStyle w:val="P19"/>
        <w:framePr w:w="9774" w:h="249" w:hRule="exact" w:wrap="none" w:vAnchor="page" w:hAnchor="margin" w:x="71" w:y="7180"/>
        <w:rPr>
          <w:rStyle w:val="C13"/>
          <w:rtl w:val="0"/>
        </w:rPr>
      </w:pPr>
      <w:r>
        <w:rPr>
          <w:rStyle w:val="C13"/>
          <w:rtl w:val="0"/>
        </w:rPr>
        <w:t>Orientace v požární ochraně a bezpečnosti ochrany a zdraví při práci</w:t>
      </w:r>
    </w:p>
    <w:p>
      <w:pPr>
        <w:pStyle w:val="P13"/>
        <w:framePr w:w="805" w:h="376" w:hRule="exact" w:wrap="none" w:vAnchor="page" w:hAnchor="margin" w:x="9916" w:y="7124"/>
        <w:rPr>
          <w:rStyle w:val="C3"/>
          <w:rtl w:val="0"/>
        </w:rPr>
      </w:pPr>
    </w:p>
    <w:p>
      <w:pPr>
        <w:pStyle w:val="P14"/>
        <w:framePr w:w="723" w:h="249" w:hRule="exact" w:wrap="none" w:vAnchor="page" w:hAnchor="margin" w:x="9972" w:y="7180"/>
        <w:rPr>
          <w:rStyle w:val="C11"/>
          <w:rtl w:val="0"/>
        </w:rPr>
      </w:pPr>
      <w:r>
        <w:rPr>
          <w:rStyle w:val="C11"/>
          <w:rtl w:val="0"/>
        </w:rPr>
        <w:t>5</w:t>
      </w:r>
    </w:p>
    <w:p>
      <w:pPr>
        <w:pStyle w:val="P7"/>
        <w:framePr w:w="8788" w:h="340" w:hRule="exact" w:wrap="none" w:vAnchor="page" w:hAnchor="margin" w:x="28" w:y="7727"/>
        <w:rPr>
          <w:rStyle w:val="C8"/>
          <w:rtl w:val="0"/>
        </w:rPr>
      </w:pPr>
      <w:r>
        <w:rPr>
          <w:rStyle w:val="C8"/>
          <w:rtl w:val="0"/>
        </w:rPr>
        <w:t>Platnost standardu</w:t>
      </w:r>
    </w:p>
    <w:p>
      <w:pPr>
        <w:pStyle w:val="P22"/>
        <w:framePr w:w="2928" w:h="248" w:hRule="exact" w:wrap="none" w:vAnchor="page" w:hAnchor="margin" w:x="28" w:y="8068"/>
        <w:rPr>
          <w:rStyle w:val="C15"/>
          <w:rtl w:val="0"/>
        </w:rPr>
      </w:pPr>
      <w:r>
        <w:rPr>
          <w:rStyle w:val="C15"/>
          <w:rtl w:val="0"/>
        </w:rPr>
        <w:t>Standard je platný od: 18.08.2021</w:t>
      </w:r>
    </w:p>
    <w:p>
      <w:pPr>
        <w:pStyle w:val="P23"/>
        <w:framePr w:w="7654" w:h="331" w:hRule="exact" w:wrap="none" w:vAnchor="page" w:hAnchor="margin" w:x="28" w:y="15940"/>
        <w:rPr>
          <w:rStyle w:val="C16"/>
          <w:rtl w:val="0"/>
        </w:rPr>
      </w:pPr>
      <w:r>
        <w:rPr>
          <w:rStyle w:val="C16"/>
          <w:rtl w:val="0"/>
        </w:rPr>
        <w:t>Specialista/specialistka bezpečnostního a krizového řízení, 20.8.2026 15:42:08</w:t>
      </w:r>
    </w:p>
    <w:p>
      <w:pPr>
        <w:pStyle w:val="P24"/>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5"/>
        <w:framePr w:w="10766" w:h="11792" w:hRule="exact" w:wrap="none" w:vAnchor="page" w:hAnchor="margin" w:x="0" w:y="2154"/>
        <w:rPr>
          <w:rStyle w:val="C3"/>
          <w:rtl w:val="0"/>
        </w:rPr>
      </w:pPr>
    </w:p>
    <w:p>
      <w:pPr>
        <w:pStyle w:val="P26"/>
        <w:framePr w:w="10710" w:h="340" w:hRule="exact" w:wrap="none" w:vAnchor="page" w:hAnchor="margin" w:x="28" w:y="2154"/>
        <w:rPr>
          <w:rStyle w:val="C18"/>
          <w:rtl w:val="0"/>
        </w:rPr>
      </w:pPr>
      <w:r>
        <w:rPr>
          <w:rStyle w:val="C18"/>
          <w:rtl w:val="0"/>
        </w:rPr>
        <w:t>Organizační a metodické pokyny</w:t>
      </w:r>
    </w:p>
    <w:p>
      <w:pPr>
        <w:pStyle w:val="P27"/>
        <w:framePr w:w="10710" w:h="340" w:hRule="exact" w:wrap="none" w:vAnchor="page" w:hAnchor="margin" w:x="28" w:y="2494"/>
        <w:rPr>
          <w:rStyle w:val="C19"/>
          <w:rtl w:val="0"/>
        </w:rPr>
      </w:pPr>
      <w:r>
        <w:rPr>
          <w:rStyle w:val="C19"/>
          <w:rtl w:val="0"/>
        </w:rPr>
        <w:t>Pokyny k realizaci zkoušky</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Veškeré písemné ověření se děje formou písemného testu. </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písemných testů jako způsobu ověřování:</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umožněno řádově několik desítek různě sestavených testů.</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splněné následující dvě podmínky:</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B1. Pro celkový soubor otázek, z něhož se generují jednotlivé testy:</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každé kritérium existuje alespoň 6 otázek.</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3 otázky.</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požadavků testu:</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26 správně zodpovězených otázek s tím, že pro každé kritérium musí být správně zodpovězeno alespoň 50 % otázek.</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Každá varianta zkušebního testu obsahuje 33 otázek, z nichž musí uchazeč správně odpovědět minimálně na 26 z nich (tj. dosáhnout úspěšnosti 79 %). Doba na vypracování testu je 60 minut. Zkrátit čas na vypracování testových otázek může jen sám uchazeč svým předčasným odevzdáním vypracovaných testových otázek.</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ověřované obhajobou případové studie:</w:t>
      </w:r>
    </w:p>
    <w:p>
      <w:pPr>
        <w:keepNext w:val="0"/>
        <w:keepLines w:val="1"/>
        <w:framePr w:w="10766" w:h="1111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Řízení bezpečnosti organizace</w:t>
      </w:r>
    </w:p>
    <w:p>
      <w:pPr>
        <w:keepNext w:val="0"/>
        <w:keepLines w:val="1"/>
        <w:framePr w:w="10766" w:h="1111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Zavádění krizového řízení, havarijního plánování a zachovávání kontinuity činnosti organizace</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Případovou studii zadá autorizovaná osoba v průběhu zkoušky. Doba na vypracování případové studie je 3 až 4 hodiny.</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disponuje souborem minimálně 10 zadání případové studie zaměřené na prověření obou uvedených kompetencí, to znamená celkem 20 zadáními. Možnost zaměření případové studie na obě kompetence zároveň není vyloučena. Nemá to však vliv na celkový požadovaný počet zadání.</w:t>
      </w:r>
    </w:p>
    <w:p>
      <w:pPr>
        <w:pStyle w:val="P23"/>
        <w:framePr w:w="7654" w:h="331" w:hRule="exact" w:wrap="none" w:vAnchor="page" w:hAnchor="margin" w:x="28" w:y="15940"/>
        <w:rPr>
          <w:rStyle w:val="C16"/>
          <w:rtl w:val="0"/>
        </w:rPr>
      </w:pPr>
      <w:r>
        <w:rPr>
          <w:rStyle w:val="C16"/>
          <w:rtl w:val="0"/>
        </w:rPr>
        <w:t>Specialista/specialistka bezpečnostního a krizového řízení, 20.8.2026 15:42:08</w:t>
      </w:r>
    </w:p>
    <w:p>
      <w:pPr>
        <w:pStyle w:val="P24"/>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9"/>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management a administrativu ustavená a licencovaná pro tuto činnost HK ČR a SP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klub bezpečnostních služeb, o. s..</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 S. C. BEZPEČNOSTNÍ PORADENSTVÍ, a. s.</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Univerzita Tomáše Bati ve Zlíně</w:t>
      </w:r>
    </w:p>
    <w:p>
      <w:pPr>
        <w:pStyle w:val="P23"/>
        <w:framePr w:w="7654" w:h="331" w:hRule="exact" w:wrap="none" w:vAnchor="page" w:hAnchor="margin" w:x="28" w:y="15940"/>
        <w:rPr>
          <w:rStyle w:val="C16"/>
          <w:rtl w:val="0"/>
        </w:rPr>
      </w:pPr>
      <w:r>
        <w:rPr>
          <w:rStyle w:val="C16"/>
          <w:rtl w:val="0"/>
        </w:rPr>
        <w:t>Specialista/specialistka bezpečnostního a krizového řízení, 20.8.2026 15:42:08</w:t>
      </w:r>
    </w:p>
    <w:p>
      <w:pPr>
        <w:pStyle w:val="P24"/>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60739E0"/>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pBdr>
        <w:bottom w:val="single" w:sz="6" w:space="0" w:shadow="0" w:frame="0" w:color="D9D9D9"/>
        <w:right w:val="single" w:sz="6" w:space="0" w:shadow="0" w:frame="0" w:color="D9D9D9"/>
      </w:pBdr>
      <w:shd w:val="clear" w:fill="F2F2F2"/>
    </w:pPr>
  </w:style>
  <w:style w:type="paragraph" w:styleId="P14">
    <w:name w:val="ParagraphStyle13"/>
    <w:hidden/>
    <w:pPr>
      <w:bidi w:val="0"/>
      <w:jc w:val="center"/>
    </w:pPr>
  </w:style>
  <w:style w:type="paragraph" w:styleId="P15">
    <w:name w:val="ParagraphStyle14"/>
    <w:hidden/>
    <w:pPr>
      <w:pBdr>
        <w:left w:val="single" w:sz="6" w:space="0" w:shadow="0" w:frame="0" w:color="D9D9D9"/>
        <w:bottom w:val="single" w:sz="6" w:space="0" w:shadow="0" w:frame="0" w:color="D9D9D9"/>
        <w:right w:val="single" w:sz="6" w:space="0" w:shadow="0" w:frame="0" w:color="D9D9D9"/>
      </w:pBdr>
      <w:shd w:val="clear" w:fill="auto"/>
    </w:pPr>
  </w:style>
  <w:style w:type="paragraph" w:styleId="P16">
    <w:name w:val="ParagraphStyle15"/>
    <w:hidden/>
    <w:pPr>
      <w:pBdr>
        <w:bottom w:val="single" w:sz="6" w:space="0" w:shadow="0" w:frame="0" w:color="D9D9D9"/>
        <w:right w:val="single" w:sz="6" w:space="0" w:shadow="0" w:frame="0" w:color="D9D9D9"/>
      </w:pBdr>
      <w:shd w:val="clear" w:fill="auto"/>
    </w:pPr>
  </w:style>
  <w:style w:type="paragraph" w:styleId="P17">
    <w:name w:val="ParagraphStyle16"/>
    <w:hidden/>
    <w:pPr>
      <w:bidi w:val="0"/>
      <w:jc w:val="center"/>
    </w:pPr>
  </w:style>
  <w:style w:type="paragraph" w:styleId="P18">
    <w:name w:val="ParagraphStyle17"/>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9">
    <w:name w:val="ParagraphStyle18"/>
    <w:hidden/>
    <w:pPr>
      <w:bidi w:val="0"/>
      <w:jc w:val="left"/>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auto"/>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left"/>
    </w:pPr>
  </w:style>
  <w:style w:type="paragraph" w:styleId="P24">
    <w:name w:val="ParagraphStyle23"/>
    <w:hidden/>
    <w:pPr>
      <w:bidi w:val="0"/>
      <w:jc w:val="right"/>
    </w:pPr>
  </w:style>
  <w:style w:type="paragraph" w:styleId="P25">
    <w:name w:val="ParagraphStyle24"/>
    <w:hidden/>
    <w:pPr>
      <w:shd w:val="clear" w:fill="auto"/>
      <w:bidi w:val="0"/>
      <w:jc w:val="left"/>
    </w:pPr>
  </w:style>
  <w:style w:type="paragraph" w:styleId="P26">
    <w:name w:val="ParagraphStyle25"/>
    <w:hidden/>
    <w:pPr>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paragraph" w:styleId="P29">
    <w:name w:val="ParagraphStyle28"/>
    <w:hidden/>
    <w:pPr>
      <w:bidi w:val="0"/>
      <w:jc w:val="left"/>
    </w:pPr>
  </w:style>
  <w:style w:type="paragraph" w:styleId="P30">
    <w:name w:val="ParagraphStyle2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