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2B11B" Type="http://schemas.openxmlformats.org/officeDocument/2006/relationships/officeDocument" Target="/word/document.xml" /><Relationship Id="coreR6142B11B" Type="http://schemas.openxmlformats.org/package/2006/relationships/metadata/core-properties" Target="/docProps/core.xml" /><Relationship Id="customR6142B1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22.9.2026 4:44:49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materiály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zdobení výrobků obtiskem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22.9.2026 4:44:49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 xml:space="preserve"> 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22.9.2026 4:44:49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dekorace, 22.9.2026 4:44:49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 keramiky - ruční dekorace a střední vzdělání s maturitní zkouškou a alespoň 5 let praxe v oblasti keramické výroby.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dekorace, 22.9.2026 4:44:49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vybavená pracovním stolem, opěrnou deskou malířského kroužku, podpěrky, židle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malírenskou dekoraci: ocelová stěrka, skleněná paleta, speciální štětce, pera, tampony, vata, hadříky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pálící pomůcky, keramické výrobky 10-20 ks</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dekorace, 22.9.2026 4:44:49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22.9.2026 4:44:49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AD5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C0FE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37A9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