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D3D95C" Type="http://schemas.openxmlformats.org/officeDocument/2006/relationships/officeDocument" Target="/word/document.xml" /><Relationship Id="coreR5CD3D95C" Type="http://schemas.openxmlformats.org/package/2006/relationships/metadata/core-properties" Target="/docProps/core.xml" /><Relationship Id="customR5CD3D9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ruční dekorace (kód: 28-079-H)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ruční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ruční dekorace, 10.9.2026 0:27:35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ruční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sítotiskem nebo stříkáním). Pro ověření odborných kompetencí uvedených ve standardu autorizovaná osoba vybere jednu z dekoračních technik (razítkování, sítotisk, stříkání, plastické dekorace, páskování).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estetická stránka výrobku, kreativita a manuální zručnost uchazeče.</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21"/>
        <w:framePr w:w="7654" w:h="331" w:hRule="exact" w:wrap="none" w:vAnchor="page" w:hAnchor="margin" w:x="28" w:y="15940"/>
        <w:rPr>
          <w:rStyle w:val="C16"/>
          <w:rtl w:val="0"/>
        </w:rPr>
      </w:pPr>
      <w:r>
        <w:rPr>
          <w:rStyle w:val="C16"/>
          <w:rtl w:val="0"/>
        </w:rPr>
        <w:t>Dekoratér/dekoratérka keramiky – ruční dekorace, 10.9.2026 0:27:35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ruční dekorace, 10.9.2026 0:27:35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