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121237" Type="http://schemas.openxmlformats.org/officeDocument/2006/relationships/officeDocument" Target="/word/document.xml" /><Relationship Id="coreR62121237" Type="http://schemas.openxmlformats.org/package/2006/relationships/metadata/core-properties" Target="/docProps/core.xml" /><Relationship Id="customR621212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ruční dekorace (kód: 28-079-H)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ruční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ruční dekorace, 20.10.2026 8:49:56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ruční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sítotiskem nebo stříkáním). Pro ověření odborných kompetencí uvedených ve standardu autorizovaná osoba vybere jednu z dekoračních technik (razítkování, sítotisk, stříkání, plastické dekorace, páskování).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estetická stránka výrobku, kreativita a manuální zručnost uchazeče.</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21"/>
        <w:framePr w:w="7654" w:h="331" w:hRule="exact" w:wrap="none" w:vAnchor="page" w:hAnchor="margin" w:x="28" w:y="15940"/>
        <w:rPr>
          <w:rStyle w:val="C16"/>
          <w:rtl w:val="0"/>
        </w:rPr>
      </w:pPr>
      <w:r>
        <w:rPr>
          <w:rStyle w:val="C16"/>
          <w:rtl w:val="0"/>
        </w:rPr>
        <w:t>Dekoratér/dekoratérka keramiky – ruční dekorace, 20.10.2026 8:49:56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ruční dekorace, 20.10.2026 8:49:56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