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CF150" Type="http://schemas.openxmlformats.org/officeDocument/2006/relationships/officeDocument" Target="/word/document.xml" /><Relationship Id="coreR228CF150" Type="http://schemas.openxmlformats.org/package/2006/relationships/metadata/core-properties" Target="/docProps/core.xml" /><Relationship Id="customR228CF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materiály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zdobení výrobků obtiskem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 xml:space="preserve"> Je třeba splnit všechna kritéria.</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a střední vzdělání s maturitní zkouškou a alespoň 5 let praxe v oblasti keramické výroby.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vybavená pracovním stolem, opěrnou deskou malířského kroužku, podpěrky, židle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malírenskou dekoraci: ocelová stěrka, skleněná paleta, speciální štětce, pera, tampony, vata, hadříky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pálící pomůcky, keramické výrobky 10-20 ks</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30.9.2026 6:55:00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713A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CD5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F1AE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