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9E7486" Type="http://schemas.openxmlformats.org/officeDocument/2006/relationships/officeDocument" Target="/word/document.xml" /><Relationship Id="coreR399E7486" Type="http://schemas.openxmlformats.org/package/2006/relationships/metadata/core-properties" Target="/docProps/core.xml" /><Relationship Id="customR399E74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malírenské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malírenská dekorace, 30.9.2026 3:58:43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2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malírenské dekoraci keramiky,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Realizace postupu práce při ruční malírenské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21"/>
        <w:framePr w:w="7654" w:h="331" w:hRule="exact" w:wrap="none" w:vAnchor="page" w:hAnchor="margin" w:x="28" w:y="15940"/>
        <w:rPr>
          <w:rStyle w:val="C16"/>
          <w:rtl w:val="0"/>
        </w:rPr>
      </w:pPr>
      <w:r>
        <w:rPr>
          <w:rStyle w:val="C16"/>
          <w:rtl w:val="0"/>
        </w:rPr>
        <w:t>Dekoratér keramiky – ruční malírenská dekorace, 30.9.2026 3:58:43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ruční malírenská dekorace, 30.9.2026 3:58:43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