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7D7C0" Type="http://schemas.openxmlformats.org/officeDocument/2006/relationships/officeDocument" Target="/word/document.xml" /><Relationship Id="coreR7CA7D7C0" Type="http://schemas.openxmlformats.org/package/2006/relationships/metadata/core-properties" Target="/docProps/core.xml" /><Relationship Id="customR7CA7D7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malírenské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malírenská dekorace, 31.7.2026 13:17:29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2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malírenské dekoraci keramiky,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Realizace postupu práce při ruční malírenské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21"/>
        <w:framePr w:w="7654" w:h="331" w:hRule="exact" w:wrap="none" w:vAnchor="page" w:hAnchor="margin" w:x="28" w:y="15940"/>
        <w:rPr>
          <w:rStyle w:val="C16"/>
          <w:rtl w:val="0"/>
        </w:rPr>
      </w:pPr>
      <w:r>
        <w:rPr>
          <w:rStyle w:val="C16"/>
          <w:rtl w:val="0"/>
        </w:rPr>
        <w:t>Dekoratér keramiky – ruční malírenská dekorace, 31.7.2026 13:17:29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ruční malírenská dekorace, 31.7.2026 13:17:29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