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7C43B2" Type="http://schemas.openxmlformats.org/officeDocument/2006/relationships/officeDocument" Target="/word/document.xml" /><Relationship Id="coreR4D7C43B2" Type="http://schemas.openxmlformats.org/package/2006/relationships/metadata/core-properties" Target="/docProps/core.xml" /><Relationship Id="customR4D7C43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malírenské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malírenská dekorace, 20.10.2026 12:03:57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2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malírenské dekoraci keramiky,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Realizace postupu práce při ruční malírenské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21"/>
        <w:framePr w:w="7654" w:h="331" w:hRule="exact" w:wrap="none" w:vAnchor="page" w:hAnchor="margin" w:x="28" w:y="15940"/>
        <w:rPr>
          <w:rStyle w:val="C16"/>
          <w:rtl w:val="0"/>
        </w:rPr>
      </w:pPr>
      <w:r>
        <w:rPr>
          <w:rStyle w:val="C16"/>
          <w:rtl w:val="0"/>
        </w:rPr>
        <w:t>Dekoratér keramiky – ruční malírenská dekorace, 20.10.2026 12:03:57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ruční malírenská dekorace, 20.10.2026 12:03:57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