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944BA5" Type="http://schemas.openxmlformats.org/officeDocument/2006/relationships/officeDocument" Target="/word/document.xml" /><Relationship Id="coreR2C944BA5" Type="http://schemas.openxmlformats.org/package/2006/relationships/metadata/core-properties" Target="/docProps/core.xml" /><Relationship Id="customR2C944B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strojní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strojní dekorace, 30.9.2026 4:46:47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1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strojní dekoraci keramiky,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strojní dekoraci keramiky, kritérium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21"/>
        <w:framePr w:w="7654" w:h="331" w:hRule="exact" w:wrap="none" w:vAnchor="page" w:hAnchor="margin" w:x="28" w:y="15940"/>
        <w:rPr>
          <w:rStyle w:val="C16"/>
          <w:rtl w:val="0"/>
        </w:rPr>
      </w:pPr>
      <w:r>
        <w:rPr>
          <w:rStyle w:val="C16"/>
          <w:rtl w:val="0"/>
        </w:rPr>
        <w:t>Dekoratér keramiky – strojní dekorace, 30.9.2026 4:46:47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strojní dekorace, 30.9.2026 4:46:47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