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F04BEC" Type="http://schemas.openxmlformats.org/officeDocument/2006/relationships/officeDocument" Target="/word/document.xml" /><Relationship Id="coreR37F04BEC" Type="http://schemas.openxmlformats.org/package/2006/relationships/metadata/core-properties" Target="/docProps/core.xml" /><Relationship Id="customR37F04B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strojní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strojní dekorace, 9.9.2026 21:04:23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81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strojní dekoraci keramiky,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Realizace postupu práce při strojní dekoraci keramiky, kritérium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zkoušeného.</w:t>
      </w:r>
    </w:p>
    <w:p>
      <w:pPr>
        <w:pStyle w:val="P21"/>
        <w:framePr w:w="7654" w:h="331" w:hRule="exact" w:wrap="none" w:vAnchor="page" w:hAnchor="margin" w:x="28" w:y="15940"/>
        <w:rPr>
          <w:rStyle w:val="C16"/>
          <w:rtl w:val="0"/>
        </w:rPr>
      </w:pPr>
      <w:r>
        <w:rPr>
          <w:rStyle w:val="C16"/>
          <w:rtl w:val="0"/>
        </w:rPr>
        <w:t>Dekoratér keramiky – strojní dekorace, 9.9.2026 21:04:23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strojní dekorace, 9.9.2026 21:04:23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