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07405B" Type="http://schemas.openxmlformats.org/officeDocument/2006/relationships/officeDocument" Target="/word/document.xml" /><Relationship Id="coreR4C07405B" Type="http://schemas.openxmlformats.org/package/2006/relationships/metadata/core-properties" Target="/docProps/core.xml" /><Relationship Id="customR4C0740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strojní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strojní dekorace, 11.5.2026 6:05:05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81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strojní dekoraci keramiky,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Realizace postupu práce při strojní dekoraci keramiky, kritérium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zkoušeného.</w:t>
      </w:r>
    </w:p>
    <w:p>
      <w:pPr>
        <w:pStyle w:val="P21"/>
        <w:framePr w:w="7654" w:h="331" w:hRule="exact" w:wrap="none" w:vAnchor="page" w:hAnchor="margin" w:x="28" w:y="15940"/>
        <w:rPr>
          <w:rStyle w:val="C16"/>
          <w:rtl w:val="0"/>
        </w:rPr>
      </w:pPr>
      <w:r>
        <w:rPr>
          <w:rStyle w:val="C16"/>
          <w:rtl w:val="0"/>
        </w:rPr>
        <w:t>Dekoratér keramiky – strojní dekorace, 11.5.2026 6:05:05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Dekoratér keramiky – strojní dekorace, 11.5.2026 6:05:05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