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183FBB" Type="http://schemas.openxmlformats.org/officeDocument/2006/relationships/officeDocument" Target="/word/document.xml" /><Relationship Id="coreR4D183FBB" Type="http://schemas.openxmlformats.org/package/2006/relationships/metadata/core-properties" Target="/docProps/core.xml" /><Relationship Id="customR4D183F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zařízení pro ochranu ovzduší (kód: 16-007-M)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zařízení pro ochranu ovzduší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zákoně o ochraně ovzduší a navazujících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metodách stanovení úrovně znečišťování ovzduší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provozu zařízení pro ochranu ovzduší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Shromažďování a skladování odpadů ze zařízení pro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předpisech pro tepelné zpracování odpadů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evidence ke znečišťování ovzduší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registrech ke zdrojům znečišťování ovzduší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bezpečnosti práce při provozu zařízení pro ochranu ovzduší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zařízení pro ochranu ovzduší, 31.7.2026 11:39:19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zákoně o ochraně ovzduší a navazujících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Vysvětlit základní pojmy zákona o ochraně ovzduší: znečišťující látka, emise, emisní limit, emisní strop, imisní limit, depozice, skleníkové plyny, stavové podmínky, perzistentní látky, vztažné podmínky, stacionární zdroj, mobilní zdroj, provozovna, autorizovaná osoba, jmenovitý tepelný příkon, přímý a nepřímý procesní ohřev</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Uvést nejvýznamnější znečišťující a zpoplatněné látky v ovzduší a popsat jejich reakce v ovzduší</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kategorizaci zdrojů znečišťování ovzduší ve výrobních procesech a při spalování paliv</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Vysvětlit rozdíl mezi přípustnou úrovní znečištění a přípustnou úrovní znečišťování, mezi imisními limity a emisními stropy znečišťujících látek</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Uvést a porovnat způsoby posuzování úrovně znečištění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f) Popsat požadavky na uvedení do provozu u zařízení k ochraně ovzduší</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Písemné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g) Popsat podle zákona o ochraně ovzduší základní povinnosti provozovatelů spalovacích zdrojů nevyjmenovaných a vyjmenovaných</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Písemné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Orientace v metodách stanovení úrovně znečišťování ovzduší</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Uvést zdroje a znečišťující látky s povinností kontinuálního měření emisí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Ústní ověření</w:t>
      </w:r>
    </w:p>
    <w:p>
      <w:pPr>
        <w:pStyle w:val="P16"/>
        <w:framePr w:w="6710" w:h="607" w:hRule="exact" w:wrap="none" w:vAnchor="page" w:hAnchor="margin" w:x="45" w:y="9727"/>
        <w:rPr>
          <w:rStyle w:val="C3"/>
          <w:rtl w:val="0"/>
        </w:rPr>
      </w:pPr>
    </w:p>
    <w:p>
      <w:pPr>
        <w:pStyle w:val="P17"/>
        <w:framePr w:w="6658" w:h="480" w:hRule="exact" w:wrap="none" w:vAnchor="page" w:hAnchor="margin" w:x="71" w:y="9783"/>
        <w:rPr>
          <w:rStyle w:val="C13"/>
          <w:rtl w:val="0"/>
        </w:rPr>
      </w:pPr>
      <w:r>
        <w:rPr>
          <w:rStyle w:val="C13"/>
          <w:rtl w:val="0"/>
        </w:rPr>
        <w:t>b) Popsat požadavky na jednorázové měření emisí a na vyhodnocení tohoto měření</w:t>
      </w:r>
    </w:p>
    <w:p>
      <w:pPr>
        <w:pStyle w:val="P30"/>
        <w:framePr w:w="3921" w:h="607" w:hRule="exact" w:wrap="none" w:vAnchor="page" w:hAnchor="margin" w:x="6800" w:y="9727"/>
        <w:rPr>
          <w:rStyle w:val="C3"/>
          <w:rtl w:val="0"/>
        </w:rPr>
      </w:pPr>
    </w:p>
    <w:p>
      <w:pPr>
        <w:pStyle w:val="P31"/>
        <w:framePr w:w="3839" w:h="480" w:hRule="exact" w:wrap="none" w:vAnchor="page" w:hAnchor="margin" w:x="6856" w:y="9783"/>
        <w:rPr>
          <w:rStyle w:val="C22"/>
          <w:rtl w:val="0"/>
        </w:rPr>
      </w:pPr>
      <w:r>
        <w:rPr>
          <w:rStyle w:val="C22"/>
          <w:rtl w:val="0"/>
        </w:rPr>
        <w:t>Ústní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c) Vysvětlit na modelovém příkladu účel přepočtu koncentrací na vztažné podmínky při jednorázovém měření emisí</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Praktické předvedení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Vysvětlit na modelovém příkladu postup výpočtu pro stanovení množství emisí při spalování paliv</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Praktické předvedení a 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e) Zhodnotit měření provozních parametrů jako možný nástroj ke sledování emisí</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f) Vysvětlit rozdíl mezi obecnými a specifickými emisními limity</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12"/>
        <w:framePr w:w="6710" w:h="607" w:hRule="exact" w:wrap="none" w:vAnchor="page" w:hAnchor="margin" w:x="45" w:y="12531"/>
        <w:rPr>
          <w:rStyle w:val="C3"/>
          <w:rtl w:val="0"/>
        </w:rPr>
      </w:pPr>
    </w:p>
    <w:p>
      <w:pPr>
        <w:pStyle w:val="P13"/>
        <w:framePr w:w="6658" w:h="480" w:hRule="exact" w:wrap="none" w:vAnchor="page" w:hAnchor="margin" w:x="71" w:y="12587"/>
        <w:rPr>
          <w:rStyle w:val="C11"/>
          <w:rtl w:val="0"/>
        </w:rPr>
      </w:pPr>
      <w:r>
        <w:rPr>
          <w:rStyle w:val="C11"/>
          <w:rtl w:val="0"/>
        </w:rPr>
        <w:t>g) Vysvětlit termín "celkový organický uhlík" (TOC) a jeho význam pro zpracování bilance těkavých organických látek (VOC)</w:t>
      </w:r>
    </w:p>
    <w:p>
      <w:pPr>
        <w:pStyle w:val="P28"/>
        <w:framePr w:w="3921" w:h="607" w:hRule="exact" w:wrap="none" w:vAnchor="page" w:hAnchor="margin" w:x="6800" w:y="12531"/>
        <w:rPr>
          <w:rStyle w:val="C3"/>
          <w:rtl w:val="0"/>
        </w:rPr>
      </w:pPr>
    </w:p>
    <w:p>
      <w:pPr>
        <w:pStyle w:val="P29"/>
        <w:framePr w:w="3839" w:h="480" w:hRule="exact" w:wrap="none" w:vAnchor="page" w:hAnchor="margin" w:x="6856" w:y="12587"/>
        <w:rPr>
          <w:rStyle w:val="C21"/>
          <w:rtl w:val="0"/>
        </w:rPr>
      </w:pPr>
      <w:r>
        <w:rPr>
          <w:rStyle w:val="C21"/>
          <w:rtl w:val="0"/>
        </w:rPr>
        <w:t>Ústní ověření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ovzduší, 31.7.2026 11:39:19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kontrola provozu zařízení pro ochranu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technická opatření a technologie k ochraně ovzduší (tzv. koncová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tři příklady preventivních opatření opatření ke snižování emisí ve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strukturu referenčních dokumentů (BREF) k nejlepším dostupným technikám (BAT) a jejich přístup k možnostem snížit emisní zátěž</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Připravit a prezentovat pro podřízené pracovníky informace o účelu a znění zákona č. 100/2001 Sb., o posuzování vlivů na životní prostředí, ve znění pozdějších předpisů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Vysvětlit účel zavedení systému environmentálního managementu (EMS) v organizaci a vyhodnotit využití EMS k omezení znečišťování ovzduší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Vysvětlit na modelovém příkladu způsob řízení provozu stacionárního zdroje znečišťování ovzduší při vyhlášení smogové situace</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Shromažďování a skladování odpadů ze zařízení pro ochranu ovzduší</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Uvést a charakterizovat odpady ze zařízení pro ochranu ovzduší z hlediska fyzikálních vlastností a nebezpečnosti</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Písemné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Vyplnit na základě zadaných dat formulář Hlášení o produkci a nakládání s odpady</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Vysvětlit pomocí vzorového štítku označování shromažďovacích prostředků na odpady ze zařízení pro ochranu ovzduší</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a 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Navrhnout a popsat možnosti pro využití a způsob přepravy odpadů ze zařízení na ochranu ovzduší</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všechna kritéria.</w:t>
      </w:r>
    </w:p>
    <w:p>
      <w:pPr>
        <w:pStyle w:val="P23"/>
        <w:framePr w:w="10710" w:h="340" w:hRule="exact" w:wrap="none" w:vAnchor="page" w:hAnchor="margin" w:x="28" w:y="11176"/>
        <w:rPr>
          <w:rStyle w:val="C18"/>
          <w:rtl w:val="0"/>
        </w:rPr>
      </w:pPr>
      <w:r>
        <w:rPr>
          <w:rStyle w:val="C18"/>
          <w:rtl w:val="0"/>
        </w:rPr>
        <w:t>Orientace v předpisech pro tepelné zpracování odpadů</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376" w:hRule="exact" w:wrap="none" w:vAnchor="page" w:hAnchor="margin" w:x="45" w:y="11991"/>
        <w:rPr>
          <w:rStyle w:val="C3"/>
          <w:rtl w:val="0"/>
        </w:rPr>
      </w:pPr>
    </w:p>
    <w:p>
      <w:pPr>
        <w:pStyle w:val="P13"/>
        <w:framePr w:w="6658" w:h="249" w:hRule="exact" w:wrap="none" w:vAnchor="page" w:hAnchor="margin" w:x="71" w:y="12047"/>
        <w:rPr>
          <w:rStyle w:val="C11"/>
          <w:rtl w:val="0"/>
        </w:rPr>
      </w:pPr>
      <w:r>
        <w:rPr>
          <w:rStyle w:val="C11"/>
          <w:rtl w:val="0"/>
        </w:rPr>
        <w:t>a) Uvést požadavky zákona o odpadech k odstraňování odpadů spalováním</w:t>
      </w:r>
    </w:p>
    <w:p>
      <w:pPr>
        <w:pStyle w:val="P28"/>
        <w:framePr w:w="3921" w:h="376" w:hRule="exact" w:wrap="none" w:vAnchor="page" w:hAnchor="margin" w:x="6800" w:y="11991"/>
        <w:rPr>
          <w:rStyle w:val="C3"/>
          <w:rtl w:val="0"/>
        </w:rPr>
      </w:pPr>
    </w:p>
    <w:p>
      <w:pPr>
        <w:pStyle w:val="P29"/>
        <w:framePr w:w="3839" w:h="249" w:hRule="exact" w:wrap="none" w:vAnchor="page" w:hAnchor="margin" w:x="6856" w:y="12047"/>
        <w:rPr>
          <w:rStyle w:val="C21"/>
          <w:rtl w:val="0"/>
        </w:rPr>
      </w:pPr>
      <w:r>
        <w:rPr>
          <w:rStyle w:val="C21"/>
          <w:rtl w:val="0"/>
        </w:rPr>
        <w:t>Písemné ověření</w:t>
      </w:r>
    </w:p>
    <w:p>
      <w:pPr>
        <w:pStyle w:val="P16"/>
        <w:framePr w:w="6710" w:h="607" w:hRule="exact" w:wrap="none" w:vAnchor="page" w:hAnchor="margin" w:x="45" w:y="12368"/>
        <w:rPr>
          <w:rStyle w:val="C3"/>
          <w:rtl w:val="0"/>
        </w:rPr>
      </w:pPr>
    </w:p>
    <w:p>
      <w:pPr>
        <w:pStyle w:val="P17"/>
        <w:framePr w:w="6658" w:h="480" w:hRule="exact" w:wrap="none" w:vAnchor="page" w:hAnchor="margin" w:x="71" w:y="12424"/>
        <w:rPr>
          <w:rStyle w:val="C13"/>
          <w:rtl w:val="0"/>
        </w:rPr>
      </w:pPr>
      <w:r>
        <w:rPr>
          <w:rStyle w:val="C13"/>
          <w:rtl w:val="0"/>
        </w:rPr>
        <w:t>b) Popsat sledované parametry procesu spalování odpadů a technické podmínky provozu stacionárního zdroje tepelně zpracovávajícího odpad</w:t>
      </w:r>
    </w:p>
    <w:p>
      <w:pPr>
        <w:pStyle w:val="P30"/>
        <w:framePr w:w="3921" w:h="607" w:hRule="exact" w:wrap="none" w:vAnchor="page" w:hAnchor="margin" w:x="6800" w:y="12368"/>
        <w:rPr>
          <w:rStyle w:val="C3"/>
          <w:rtl w:val="0"/>
        </w:rPr>
      </w:pPr>
    </w:p>
    <w:p>
      <w:pPr>
        <w:pStyle w:val="P31"/>
        <w:framePr w:w="3839" w:h="480" w:hRule="exact" w:wrap="none" w:vAnchor="page" w:hAnchor="margin" w:x="6856" w:y="12424"/>
        <w:rPr>
          <w:rStyle w:val="C22"/>
          <w:rtl w:val="0"/>
        </w:rPr>
      </w:pPr>
      <w:r>
        <w:rPr>
          <w:rStyle w:val="C22"/>
          <w:rtl w:val="0"/>
        </w:rPr>
        <w:t>Písemné ověření</w:t>
      </w:r>
    </w:p>
    <w:p>
      <w:pPr>
        <w:pStyle w:val="P12"/>
        <w:framePr w:w="6710" w:h="1055" w:hRule="exact" w:wrap="none" w:vAnchor="page" w:hAnchor="margin" w:x="45" w:y="12975"/>
        <w:rPr>
          <w:rStyle w:val="C3"/>
          <w:rtl w:val="0"/>
        </w:rPr>
      </w:pPr>
    </w:p>
    <w:p>
      <w:pPr>
        <w:pStyle w:val="P13"/>
        <w:framePr w:w="6658" w:h="928" w:hRule="exact" w:wrap="none" w:vAnchor="page" w:hAnchor="margin" w:x="71" w:y="13031"/>
        <w:rPr>
          <w:rStyle w:val="C11"/>
          <w:rtl w:val="0"/>
        </w:rPr>
      </w:pPr>
      <w:r>
        <w:rPr>
          <w:rStyle w:val="C11"/>
          <w:rtl w:val="0"/>
        </w:rPr>
        <w:t>c) Uvést požadavky právních předpisů na tepelné zpracování odpadů (požadavky zákona č. 185/2001 Sb., o odpadech, ve znění pozdějších předpisů, a zákona č. 201/2012 Sb., o ochraně ovzduší, ve znění pozdějších předpisů)</w:t>
      </w:r>
    </w:p>
    <w:p>
      <w:pPr>
        <w:pStyle w:val="P28"/>
        <w:framePr w:w="3921" w:h="1055" w:hRule="exact" w:wrap="none" w:vAnchor="page" w:hAnchor="margin" w:x="6800" w:y="12975"/>
        <w:rPr>
          <w:rStyle w:val="C3"/>
          <w:rtl w:val="0"/>
        </w:rPr>
      </w:pPr>
    </w:p>
    <w:p>
      <w:pPr>
        <w:pStyle w:val="P29"/>
        <w:framePr w:w="3839" w:h="928" w:hRule="exact" w:wrap="none" w:vAnchor="page" w:hAnchor="margin" w:x="6856" w:y="13031"/>
        <w:rPr>
          <w:rStyle w:val="C21"/>
          <w:rtl w:val="0"/>
        </w:rPr>
      </w:pPr>
      <w:r>
        <w:rPr>
          <w:rStyle w:val="C21"/>
          <w:rtl w:val="0"/>
        </w:rPr>
        <w:t>Písemné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ovzduší, 31.7.2026 11:39:19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evidence ke znečišťování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Zhodnotit úplnost požadovaných údajů v předložených modelových provozních dokumentech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získávání stálých a proměnných údajů souhrnné provozní evidence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 xml:space="preserve">c) Posoudit, zda formulář  průběžné evidence odpadů produkovaných na zařízení k ochraně ovzduší u  původce obsahuje všechny údaje požadované zákonem o odpadech a navazující vyhláškou v aktuálním znění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náležitosti provozního řádu a komentovat modelový deník stacionárního zdroje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Orientace v registrech ke zdrojům znečišťování ovzduší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Uvést modelová data o emisích shromažďovaná pro registr emisí a zdrojů znečišťování ovzduší (REZZO)</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Písemné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Uvést požadavky na údaje shromažďované pro integrovaný registr znečišťování (IRZ)</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Písemné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Vyplnit na základě zadaných dat poplatkové hlášení prostřednictvím integrovaného systému plnění ohlašovacích povinností (ISPOP)</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Vypočítat poplatek za stacionární zdroj znečišťování ovzduší podle modelového příkladu</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32"/>
        <w:framePr w:w="10710" w:h="248" w:hRule="exact" w:wrap="none" w:vAnchor="page" w:hAnchor="margin" w:x="28" w:y="9527"/>
        <w:rPr>
          <w:rStyle w:val="C23"/>
          <w:rtl w:val="0"/>
        </w:rPr>
      </w:pPr>
      <w:r>
        <w:rPr>
          <w:rStyle w:val="C23"/>
          <w:rtl w:val="0"/>
        </w:rPr>
        <w:t>Je třeba splnit všechna kritéria.</w:t>
      </w:r>
    </w:p>
    <w:p>
      <w:pPr>
        <w:pStyle w:val="P23"/>
        <w:framePr w:w="10710" w:h="340" w:hRule="exact" w:wrap="none" w:vAnchor="page" w:hAnchor="margin" w:x="28" w:y="9962"/>
        <w:rPr>
          <w:rStyle w:val="C18"/>
          <w:rtl w:val="0"/>
        </w:rPr>
      </w:pPr>
      <w:r>
        <w:rPr>
          <w:rStyle w:val="C18"/>
          <w:rtl w:val="0"/>
        </w:rPr>
        <w:t>Zajišťování bezpečnosti práce při provozu zařízení pro ochranu ovzduší</w:t>
      </w:r>
    </w:p>
    <w:p>
      <w:pPr>
        <w:pStyle w:val="P24"/>
        <w:framePr w:w="6713" w:h="376" w:hRule="exact" w:wrap="none" w:vAnchor="page" w:hAnchor="margin" w:x="45" w:y="10402"/>
        <w:rPr>
          <w:rStyle w:val="C3"/>
          <w:rtl w:val="0"/>
        </w:rPr>
      </w:pPr>
    </w:p>
    <w:p>
      <w:pPr>
        <w:pStyle w:val="P25"/>
        <w:framePr w:w="6661" w:h="249" w:hRule="exact" w:wrap="none" w:vAnchor="page" w:hAnchor="margin" w:x="71" w:y="10473"/>
        <w:rPr>
          <w:rStyle w:val="C19"/>
          <w:rtl w:val="0"/>
        </w:rPr>
      </w:pPr>
      <w:r>
        <w:rPr>
          <w:rStyle w:val="C19"/>
          <w:rtl w:val="0"/>
        </w:rPr>
        <w:t>Kritéria hodnocení</w:t>
      </w:r>
    </w:p>
    <w:p>
      <w:pPr>
        <w:pStyle w:val="P26"/>
        <w:framePr w:w="3918" w:h="376" w:hRule="exact" w:wrap="none" w:vAnchor="page" w:hAnchor="margin" w:x="6803" w:y="10402"/>
        <w:rPr>
          <w:rStyle w:val="C3"/>
          <w:rtl w:val="0"/>
        </w:rPr>
      </w:pPr>
    </w:p>
    <w:p>
      <w:pPr>
        <w:pStyle w:val="P27"/>
        <w:framePr w:w="3836" w:h="249" w:hRule="exact" w:wrap="none" w:vAnchor="page" w:hAnchor="margin" w:x="6859" w:y="10473"/>
        <w:rPr>
          <w:rStyle w:val="C20"/>
          <w:rtl w:val="0"/>
        </w:rPr>
      </w:pPr>
      <w:r>
        <w:rPr>
          <w:rStyle w:val="C20"/>
          <w:rtl w:val="0"/>
        </w:rPr>
        <w:t>Způsoby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a) Popsat vliv tuhých znečišťujících látek, oxidu siřičitého, oxidů dusíku a oxidu uhelnatého na lidský organismus</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Písemné ověření</w:t>
      </w:r>
    </w:p>
    <w:p>
      <w:pPr>
        <w:pStyle w:val="P16"/>
        <w:framePr w:w="6710" w:h="1055" w:hRule="exact" w:wrap="none" w:vAnchor="page" w:hAnchor="margin" w:x="45" w:y="11385"/>
        <w:rPr>
          <w:rStyle w:val="C3"/>
          <w:rtl w:val="0"/>
        </w:rPr>
      </w:pPr>
    </w:p>
    <w:p>
      <w:pPr>
        <w:pStyle w:val="P17"/>
        <w:framePr w:w="6658" w:h="928" w:hRule="exact" w:wrap="none" w:vAnchor="page" w:hAnchor="margin" w:x="71" w:y="11441"/>
        <w:rPr>
          <w:rStyle w:val="C13"/>
          <w:rtl w:val="0"/>
        </w:rPr>
      </w:pPr>
      <w:r>
        <w:rPr>
          <w:rStyle w:val="C13"/>
          <w:rtl w:val="0"/>
        </w:rPr>
        <w:t>b) Popsat zajištění údržby a havarijní připravenosti shromažďovacích míst odpadů ze zařízení na ochranu ovzduší a jejich vybavení v souladu se zákonem č. 185/2001 Sb., o odpadech a vyhláškou č. 383/2001 Sb., o podrobnostech nakládání s odpady, ve znění pozdějších předpisů</w:t>
      </w:r>
    </w:p>
    <w:p>
      <w:pPr>
        <w:pStyle w:val="P30"/>
        <w:framePr w:w="3921" w:h="1055" w:hRule="exact" w:wrap="none" w:vAnchor="page" w:hAnchor="margin" w:x="6800" w:y="11385"/>
        <w:rPr>
          <w:rStyle w:val="C3"/>
          <w:rtl w:val="0"/>
        </w:rPr>
      </w:pPr>
    </w:p>
    <w:p>
      <w:pPr>
        <w:pStyle w:val="P31"/>
        <w:framePr w:w="3839" w:h="928" w:hRule="exact" w:wrap="none" w:vAnchor="page" w:hAnchor="margin" w:x="6856" w:y="11441"/>
        <w:rPr>
          <w:rStyle w:val="C22"/>
          <w:rtl w:val="0"/>
        </w:rPr>
      </w:pPr>
      <w:r>
        <w:rPr>
          <w:rStyle w:val="C22"/>
          <w:rtl w:val="0"/>
        </w:rPr>
        <w:t>Ústní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Popsat základní povinnosti k zajištění bezpečnosti práce při provozu nízkotlakých kotelen a plynových zařízení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d) Navrhnout příklady pro školení pracovníků ohledně bezpečnostních opatření nezbytných pro pracovníky zařízení pro ochranu ovzduší (např. při údržbě mechanických a elektrických odlučovačů tuhých znečišťujících látek)</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 a ústní ověření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ovzduší, 31.7.2026 11:39:19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https://nsp.cz/jednotka-prace/technik-zarizeni-pro-ochr).</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katalogy, firemní materiály, vzorové dokumenty apod.).</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kritérií hodnocení uchazeč na PC nebo na označených listech papíru vypracuje podle zadání popis, charakteristiku, seznam požadavků, parametrů, doplněné o jejich vysvětlení nebo zdůvodnění.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bude posuzována schopnost uchazeče využívat předpisy, návody a dokumenty v reálných podmínkách, a to z hlediska jejich účelu, ochrany životního prostředí a bezpečnosti práce. Autorizovaná osoba připraví pro praktickou zkoušku modelové situace a podklady, které dostane uchazeč k dispozici v době přípravy na zkoušku.</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metodách stanovení úrovně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1"/>
        <w:framePr w:w="10766" w:h="131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zadání pro přepočet koncentrací na vztažné podmínky při jednorázovém měření emisí.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metodách stanovení úrovně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1"/>
        <w:framePr w:w="10766" w:h="131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modelový příklad pro postup výpočtu stanovení množství emisí při spalování paliv.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Řízení a kontrola provozu zařízení pro ochranu ovzduší,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f)</w:t>
      </w:r>
    </w:p>
    <w:p>
      <w:pPr>
        <w:keepNext w:val="0"/>
        <w:keepLines w:val="1"/>
        <w:framePr w:w="10766" w:h="13103"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modelový příklad příklad podkladů pro stacionární zdroj znečišťování při vyhlášení smogové situace.</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Shromažďování a skladování odpadů ze zařízení pro ochranu ovzduší,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1"/>
        <w:framePr w:w="10766" w:h="13103"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dat pro vyplnění formuláře Hlášení o produkci a nakládání s odpady.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Shromažďování a skladování odpadů ze zařízení pro ochranu ovzduší</w:t>
      </w:r>
      <w:r>
        <w:rPr>
          <w:rFonts w:ascii="Arial" w:cs="Arial" w:hAnsi="Arial" w:eastAsia="Arial"/>
          <w:b w:val="0"/>
          <w:i w:val="0"/>
          <w:caps w:val="0"/>
          <w:strike w:val="0"/>
          <w:noProof w:val="0"/>
          <w:vanish w:val="0"/>
          <w:color w:val="auto"/>
          <w:sz w:val="20"/>
          <w:u w:val="none"/>
          <w:shd w:val="clear" w:color="auto" w:fill="auto"/>
          <w:vertAlign w:val="baseline"/>
          <w:lang/>
        </w:rPr>
        <w:t>, kritérium c) </w:t>
      </w:r>
    </w:p>
    <w:p>
      <w:pPr>
        <w:keepNext w:val="0"/>
        <w:keepLines w:val="1"/>
        <w:framePr w:w="10766" w:h="13103"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modelový příklad vzorového štítku shromažďovacích prostředků na odpady ze zařízení pro ochranu ovzduší.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dokumentace a evidence k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1"/>
        <w:framePr w:w="10766" w:h="13103"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vyplněný modelový provozní deník a formulář pro záznam dat o znečišťování ovzduší.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dokumentace a evidence k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1"/>
        <w:framePr w:w="10766" w:h="13103" w:hRule="exact" w:wrap="none" w:vAnchor="page" w:hAnchor="margin" w:x="0" w:y="2835"/>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neúplný formulář průběžné evidence odpadů u původce. Uchazeč formulář posoudí a doplní chybějící údaje.</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dokumentace a evidence k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e)</w:t>
      </w:r>
    </w:p>
    <w:p>
      <w:pPr>
        <w:keepNext w:val="0"/>
        <w:keepLines w:val="1"/>
        <w:framePr w:w="10766" w:h="13103" w:hRule="exact" w:wrap="none" w:vAnchor="page" w:hAnchor="margin" w:x="0" w:y="2835"/>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neúplný modelový provozní řád a deník stacionárního zdroje.</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registrech ke zdrojům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1"/>
        <w:framePr w:w="10766" w:h="13103" w:hRule="exact" w:wrap="none" w:vAnchor="page" w:hAnchor="margin" w:x="0" w:y="2835"/>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modelová data pro vyplnění poplatkového hlášení.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registrech ke zdrojům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1"/>
        <w:framePr w:w="10766" w:h="13103" w:hRule="exact" w:wrap="none" w:vAnchor="page" w:hAnchor="margin" w:x="0" w:y="2835"/>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výpočtu poplatku za zdroj znečišťování.</w:t>
      </w:r>
    </w:p>
    <w:p>
      <w:pPr>
        <w:pStyle w:val="P21"/>
        <w:framePr w:w="7654" w:h="331" w:hRule="exact" w:wrap="none" w:vAnchor="page" w:hAnchor="margin" w:x="28" w:y="15940"/>
        <w:rPr>
          <w:rStyle w:val="C16"/>
          <w:rtl w:val="0"/>
        </w:rPr>
      </w:pPr>
      <w:r>
        <w:rPr>
          <w:rStyle w:val="C16"/>
          <w:rtl w:val="0"/>
        </w:rPr>
        <w:t>Technik/technička zařízení pro ochranu ovzduší, 31.7.2026 11:39:19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Výsledné hodnocení</w:t>
      </w:r>
    </w:p>
    <w:p>
      <w:pPr>
        <w:keepNext w:val="0"/>
        <w:keepLines w:val="0"/>
        <w:framePr w:w="10766" w:h="149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45"/>
        <w:rPr>
          <w:rStyle w:val="C3"/>
          <w:rtl w:val="0"/>
        </w:rPr>
      </w:pPr>
    </w:p>
    <w:p>
      <w:pPr>
        <w:pStyle w:val="P35"/>
        <w:framePr w:w="10710" w:h="340" w:hRule="exact" w:wrap="none" w:vAnchor="page" w:hAnchor="margin" w:x="28" w:y="4445"/>
        <w:rPr>
          <w:rStyle w:val="C25"/>
          <w:rtl w:val="0"/>
        </w:rPr>
      </w:pPr>
      <w:r>
        <w:rPr>
          <w:rStyle w:val="C25"/>
          <w:rtl w:val="0"/>
        </w:rPr>
        <w:t>Počet zkoušejících</w:t>
      </w:r>
    </w:p>
    <w:p>
      <w:pPr>
        <w:keepNext w:val="0"/>
        <w:keepLines w:val="0"/>
        <w:framePr w:w="10766" w:h="1036" w:hRule="exact" w:wrap="none" w:vAnchor="page" w:hAnchor="margin" w:x="0" w:y="4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6049"/>
        <w:rPr>
          <w:rStyle w:val="C3"/>
          <w:rtl w:val="0"/>
        </w:rPr>
      </w:pPr>
    </w:p>
    <w:p>
      <w:pPr>
        <w:pStyle w:val="P35"/>
        <w:framePr w:w="10710" w:h="547" w:hRule="exact" w:wrap="none" w:vAnchor="page" w:hAnchor="margin" w:x="28" w:y="6049"/>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se zařízeními pro ochranu ovzduší nebo ve funkci učitele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a alespoň 5 let odborné praxe se zařízeními pro ochranu ovzduší nebo ve funkci učitele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se zařízeními pro ochranu ovzduší nebo ve funkci učitele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a alespoň 5 let odborné praxe se zařízeními pro ochranu ovzduší nebo ve funkci učitele odborných předmětů nebo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16-007-M Technik/technička zařízení pro ochranu ovzduší a střední vzdělání s maturitní zkouškou a alespoň 5 let odborné praxe se zařízeními pro ochranu ovzduší.</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Technik/technička zařízení pro ochranu ovzduší, 31.7.2026 11:39:19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prostory odpovídající bezpečnostním a hygienickým předpisům a vybaveností pro ověřování kritérií formou písemného ověření a praktického předvedení a dále uvedené vybavení: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ochrany vod, chemických látek, integrované prevence a omezování znečištění, integrovaného registru znečišťování, integrovaného systému plnění ohlašovacích povinností, systémů environmentálního managementu, odpadů, bezpečnosti práce (materiály v elektronické nebo tištěné podobě)</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modelově vyplněné interní předpisy (provozní deníky, provozní řády, vzorové formuláře k evidenci znečišťování ovzduší)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přepočet koncentrací na vztažné podmínky při jednorázovém měření emisí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příklady pro výpočet poplatku za zdroj znečišťování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w:t>
      </w:r>
    </w:p>
    <w:p>
      <w:pPr>
        <w:keepNext w:val="0"/>
        <w:keepLines w:val="0"/>
        <w:framePr w:w="10766" w:h="48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88"/>
        <w:rPr>
          <w:rStyle w:val="C3"/>
          <w:rtl w:val="0"/>
        </w:rPr>
      </w:pPr>
    </w:p>
    <w:p>
      <w:pPr>
        <w:pStyle w:val="P35"/>
        <w:framePr w:w="10710" w:h="340" w:hRule="exact" w:wrap="none" w:vAnchor="page" w:hAnchor="margin" w:x="28" w:y="7588"/>
        <w:rPr>
          <w:rStyle w:val="C25"/>
          <w:rtl w:val="0"/>
        </w:rPr>
      </w:pPr>
      <w:r>
        <w:rPr>
          <w:rStyle w:val="C25"/>
          <w:rtl w:val="0"/>
        </w:rPr>
        <w:t>Doba přípravy na zkoušku</w:t>
      </w:r>
    </w:p>
    <w:p>
      <w:pPr>
        <w:keepNext w:val="0"/>
        <w:keepLines w:val="0"/>
        <w:framePr w:w="10766" w:h="806" w:hRule="exact" w:wrap="none" w:vAnchor="page" w:hAnchor="margin" w:x="0" w:y="7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961"/>
        <w:rPr>
          <w:rStyle w:val="C3"/>
          <w:rtl w:val="0"/>
        </w:rPr>
      </w:pPr>
    </w:p>
    <w:p>
      <w:pPr>
        <w:pStyle w:val="P35"/>
        <w:framePr w:w="10710" w:h="340" w:hRule="exact" w:wrap="none" w:vAnchor="page" w:hAnchor="margin" w:x="28" w:y="8961"/>
        <w:rPr>
          <w:rStyle w:val="C25"/>
          <w:rtl w:val="0"/>
        </w:rPr>
      </w:pPr>
      <w:r>
        <w:rPr>
          <w:rStyle w:val="C25"/>
          <w:rtl w:val="0"/>
        </w:rPr>
        <w:t>Doba pro vykonání zkoušky</w:t>
      </w:r>
    </w:p>
    <w:p>
      <w:pPr>
        <w:keepNext w:val="0"/>
        <w:keepLines w:val="0"/>
        <w:framePr w:w="10766" w:h="1036" w:hRule="exact" w:wrap="none" w:vAnchor="page" w:hAnchor="margin" w:x="0" w:y="93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Technik/technička zařízení pro ochranu ovzduší, 31.7.2026 11:39:19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Technik/technička zařízení pro ochranu ovzduší, 31.7.2026 11:39:19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80482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613A2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EF8A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20A9CD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2D9106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347A980"/>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3FA8279A"/>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46A31F3D"/>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5233328B"/>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509B6D5C"/>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abstractNum w:abstractNumId="10">
    <w:nsid w:val="37F14A8F"/>
    <w:multiLevelType w:val="hybridMultilevel"/>
    <w:lvl w:ilvl="0" w:tplc="0000015A">
      <w:start w:val="1"/>
      <w:numFmt w:val="lowerLetter"/>
      <w:suff w:val="tab"/>
      <w:lvlText w:val="%1)"/>
      <w:lvlJc w:val="left"/>
      <w:pPr>
        <w:widowControl w:val="0"/>
        <w:ind w:hanging="360" w:left="360"/>
      </w:pPr>
      <w:rPr>
        <w:rFonts w:ascii="Arial" w:cs="Arial" w:hAnsi="Arial" w:eastAsia="Arial"/>
      </w:rPr>
    </w:lvl>
    <w:lvl w:ilvl="1" w:tplc="0000015B">
      <w:start w:val="1"/>
      <w:numFmt w:val="decimal"/>
      <w:suff w:val="tab"/>
      <w:lvlText w:val="%2)"/>
      <w:lvlJc w:val="left"/>
      <w:pPr>
        <w:widowControl w:val="0"/>
        <w:ind w:hanging="360" w:left="720"/>
      </w:pPr>
      <w:rPr>
        <w:rFonts w:ascii="Arial" w:cs="Arial" w:hAnsi="Arial" w:eastAsia="Arial"/>
      </w:rPr>
    </w:lvl>
    <w:lvl w:ilvl="2" w:tplc="0000015C">
      <w:start w:val="1"/>
      <w:numFmt w:val="decimal"/>
      <w:suff w:val="tab"/>
      <w:lvlText w:val="%3)"/>
      <w:lvlJc w:val="left"/>
      <w:pPr>
        <w:widowControl w:val="0"/>
        <w:ind w:hanging="360" w:left="1080"/>
      </w:pPr>
      <w:rPr>
        <w:rFonts w:ascii="Arial" w:cs="Arial" w:hAnsi="Arial" w:eastAsia="Arial"/>
      </w:rPr>
    </w:lvl>
    <w:lvl w:ilvl="3" w:tplc="0000015D">
      <w:start w:val="1"/>
      <w:numFmt w:val="decimal"/>
      <w:suff w:val="tab"/>
      <w:lvlText w:val="%4)"/>
      <w:lvlJc w:val="left"/>
      <w:pPr>
        <w:widowControl w:val="0"/>
        <w:ind w:hanging="360" w:left="1440"/>
      </w:pPr>
      <w:rPr>
        <w:rFonts w:ascii="Arial" w:cs="Arial" w:hAnsi="Arial" w:eastAsia="Arial"/>
      </w:rPr>
    </w:lvl>
    <w:lvl w:ilvl="4" w:tplc="0000015E">
      <w:start w:val="1"/>
      <w:numFmt w:val="decimal"/>
      <w:suff w:val="tab"/>
      <w:lvlText w:val="%5)"/>
      <w:lvlJc w:val="left"/>
      <w:pPr>
        <w:widowControl w:val="0"/>
        <w:ind w:hanging="360" w:left="1800"/>
      </w:pPr>
      <w:rPr>
        <w:rFonts w:ascii="Arial" w:cs="Arial" w:hAnsi="Arial" w:eastAsia="Arial"/>
      </w:rPr>
    </w:lvl>
    <w:lvl w:ilvl="5" w:tplc="0000015F">
      <w:start w:val="1"/>
      <w:numFmt w:val="decimal"/>
      <w:suff w:val="tab"/>
      <w:lvlText w:val="%6)"/>
      <w:lvlJc w:val="left"/>
      <w:pPr>
        <w:widowControl w:val="0"/>
        <w:ind w:hanging="360" w:left="2160"/>
      </w:pPr>
      <w:rPr>
        <w:rFonts w:ascii="Arial" w:cs="Arial" w:hAnsi="Arial" w:eastAsia="Arial"/>
      </w:rPr>
    </w:lvl>
    <w:lvl w:ilvl="6" w:tplc="00000160">
      <w:start w:val="1"/>
      <w:numFmt w:val="decimal"/>
      <w:suff w:val="tab"/>
      <w:lvlText w:val="%7)"/>
      <w:lvlJc w:val="left"/>
      <w:pPr>
        <w:widowControl w:val="0"/>
        <w:ind w:hanging="360" w:left="2520"/>
      </w:pPr>
      <w:rPr>
        <w:rFonts w:ascii="Arial" w:cs="Arial" w:hAnsi="Arial" w:eastAsia="Arial"/>
      </w:rPr>
    </w:lvl>
    <w:lvl w:ilvl="7" w:tplc="00000161">
      <w:start w:val="1"/>
      <w:numFmt w:val="decimal"/>
      <w:suff w:val="tab"/>
      <w:lvlText w:val="%8)"/>
      <w:lvlJc w:val="left"/>
      <w:pPr>
        <w:widowControl w:val="0"/>
        <w:ind w:hanging="360" w:left="2880"/>
      </w:pPr>
      <w:rPr>
        <w:rFonts w:ascii="Arial" w:cs="Arial" w:hAnsi="Arial" w:eastAsia="Arial"/>
      </w:rPr>
    </w:lvl>
    <w:lvl w:ilvl="8" w:tplc="00000162">
      <w:start w:val="1"/>
      <w:numFmt w:val="decimal"/>
      <w:suff w:val="tab"/>
      <w:lvlText w:val="%9)"/>
      <w:lvlJc w:val="left"/>
      <w:pPr>
        <w:widowControl w:val="0"/>
        <w:ind w:hanging="360" w:left="3240"/>
      </w:pPr>
      <w:rPr>
        <w:rFonts w:ascii="Arial" w:cs="Arial" w:hAnsi="Arial" w:eastAsia="Arial"/>
      </w:rPr>
    </w:lvl>
  </w:abstractNum>
  <w:abstractNum w:abstractNumId="11">
    <w:nsid w:val="07601467"/>
    <w:multiLevelType w:val="hybridMultilevel"/>
    <w:lvl w:ilvl="0" w:tplc="00000163">
      <w:start w:val="1"/>
      <w:numFmt w:val="bullet"/>
      <w:suff w:val="tab"/>
      <w:lvlText w:val="·"/>
      <w:lvlJc w:val="left"/>
      <w:pPr>
        <w:widowControl w:val="0"/>
        <w:ind w:hanging="360" w:left="360"/>
      </w:pPr>
      <w:rPr>
        <w:rFonts w:ascii="Symbol" w:cs="Symbol" w:hAnsi="Symbol" w:eastAsia="Symbol"/>
      </w:rPr>
    </w:lvl>
    <w:lvl w:ilvl="1" w:tplc="00000164">
      <w:start w:val="1"/>
      <w:numFmt w:val="bullet"/>
      <w:suff w:val="tab"/>
      <w:lvlText w:val="·"/>
      <w:lvlJc w:val="left"/>
      <w:pPr>
        <w:widowControl w:val="0"/>
        <w:ind w:hanging="360" w:left="720"/>
      </w:pPr>
      <w:rPr>
        <w:rFonts w:ascii="Symbol" w:cs="Symbol" w:hAnsi="Symbol" w:eastAsia="Symbol"/>
      </w:rPr>
    </w:lvl>
    <w:lvl w:ilvl="2" w:tplc="00000165">
      <w:start w:val="1"/>
      <w:numFmt w:val="bullet"/>
      <w:suff w:val="tab"/>
      <w:lvlText w:val="·"/>
      <w:lvlJc w:val="left"/>
      <w:pPr>
        <w:widowControl w:val="0"/>
        <w:ind w:hanging="360" w:left="1080"/>
      </w:pPr>
      <w:rPr>
        <w:rFonts w:ascii="Symbol" w:cs="Symbol" w:hAnsi="Symbol" w:eastAsia="Symbol"/>
      </w:rPr>
    </w:lvl>
    <w:lvl w:ilvl="3" w:tplc="00000166">
      <w:start w:val="1"/>
      <w:numFmt w:val="bullet"/>
      <w:suff w:val="tab"/>
      <w:lvlText w:val="·"/>
      <w:lvlJc w:val="left"/>
      <w:pPr>
        <w:widowControl w:val="0"/>
        <w:ind w:hanging="360" w:left="1440"/>
      </w:pPr>
      <w:rPr>
        <w:rFonts w:ascii="Symbol" w:cs="Symbol" w:hAnsi="Symbol" w:eastAsia="Symbol"/>
      </w:rPr>
    </w:lvl>
    <w:lvl w:ilvl="4" w:tplc="00000167">
      <w:start w:val="1"/>
      <w:numFmt w:val="bullet"/>
      <w:suff w:val="tab"/>
      <w:lvlText w:val="·"/>
      <w:lvlJc w:val="left"/>
      <w:pPr>
        <w:widowControl w:val="0"/>
        <w:ind w:hanging="360" w:left="1800"/>
      </w:pPr>
      <w:rPr>
        <w:rFonts w:ascii="Symbol" w:cs="Symbol" w:hAnsi="Symbol" w:eastAsia="Symbol"/>
      </w:rPr>
    </w:lvl>
    <w:lvl w:ilvl="5" w:tplc="00000168">
      <w:start w:val="1"/>
      <w:numFmt w:val="bullet"/>
      <w:suff w:val="tab"/>
      <w:lvlText w:val="·"/>
      <w:lvlJc w:val="left"/>
      <w:pPr>
        <w:widowControl w:val="0"/>
        <w:ind w:hanging="360" w:left="2160"/>
      </w:pPr>
      <w:rPr>
        <w:rFonts w:ascii="Symbol" w:cs="Symbol" w:hAnsi="Symbol" w:eastAsia="Symbol"/>
      </w:rPr>
    </w:lvl>
    <w:lvl w:ilvl="6" w:tplc="00000169">
      <w:start w:val="1"/>
      <w:numFmt w:val="bullet"/>
      <w:suff w:val="tab"/>
      <w:lvlText w:val="·"/>
      <w:lvlJc w:val="left"/>
      <w:pPr>
        <w:widowControl w:val="0"/>
        <w:ind w:hanging="360" w:left="2520"/>
      </w:pPr>
      <w:rPr>
        <w:rFonts w:ascii="Symbol" w:cs="Symbol" w:hAnsi="Symbol" w:eastAsia="Symbol"/>
      </w:rPr>
    </w:lvl>
    <w:lvl w:ilvl="7" w:tplc="0000016A">
      <w:start w:val="1"/>
      <w:numFmt w:val="bullet"/>
      <w:suff w:val="tab"/>
      <w:lvlText w:val="·"/>
      <w:lvlJc w:val="left"/>
      <w:pPr>
        <w:widowControl w:val="0"/>
        <w:ind w:hanging="360" w:left="2880"/>
      </w:pPr>
      <w:rPr>
        <w:rFonts w:ascii="Symbol" w:cs="Symbol" w:hAnsi="Symbol" w:eastAsia="Symbol"/>
      </w:rPr>
    </w:lvl>
    <w:lvl w:ilvl="8" w:tplc="0000016B">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