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291B66" Type="http://schemas.openxmlformats.org/officeDocument/2006/relationships/officeDocument" Target="/word/document.xml" /><Relationship Id="coreR9291B66" Type="http://schemas.openxmlformats.org/package/2006/relationships/metadata/core-properties" Target="/docProps/core.xml" /><Relationship Id="customR9291B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 podvozkových systémů osobních automobilů + střední vzdělání s maturitní zkouškou a alespoň 5 let odborné praxe v opravárenství osobních automobilů.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podvozkových systémů osobních automobilů, 20.10.2026 8:52:08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EC6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5C65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278B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