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9AD10" Type="http://schemas.openxmlformats.org/officeDocument/2006/relationships/officeDocument" Target="/word/document.xml" /><Relationship Id="coreR7049AD10" Type="http://schemas.openxmlformats.org/package/2006/relationships/metadata/core-properties" Target="/docProps/core.xml" /><Relationship Id="customR7049AD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vznětových a zážehových motorů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a zážehových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pevné části vznětových a zážehových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pohyblivé části vznětových a zážehových motorů</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mazací a chladicí soustavu vznětového a zážehového motoru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systémy přívodu vzduchu do motoru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palivovou soustavu vznětového a zážehového motoru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systémy řízení zážehového motoru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systémy řízení vznětového motoru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výfukovou soustavu vznětového a zážehového motoru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důvody zavádění systémů pro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vazby systémů pro snižování emisí na řízení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Provádění pravidelné údržby hnacích agregátů osobních vozidel</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Provést základní test řídicí jednotky pomocí sériové diagnostiky u hnacího agregátu</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Zaznamenat servisní prohlídku do dokumentace vozidla</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Provést kontrolu a vyhodnocení naměřených hodnot kompresních tlaků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demontáž, diagnostiku a montáž pevných i pohyblivých částí spalovacího motoru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Provést výměnu rozvodové sady spalovacího motoru</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 a 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hnacích agregátů osobních automobilů, kritérium c) - vyčtení paměti závad, pravidla pro vymazání paměti závad, nastavení intervalu servisní prohlídky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mechanických částí vznětových a zážehových motorů osobních automobilů, kritéria b) a c) - motor demontován z vozidla </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zážehovým motorem a start-stop systémem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vznětovým motorem se systémem common rail a turbodmychadlem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dle technické dokumentace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hnacích agregátů osobních automobilů, 22.10.2026 9:24:48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5CA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182C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09402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575FC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