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9ADB0" Type="http://schemas.openxmlformats.org/officeDocument/2006/relationships/officeDocument" Target="/word/document.xml" /><Relationship Id="coreR2589ADB0" Type="http://schemas.openxmlformats.org/package/2006/relationships/metadata/core-properties" Target="/docProps/core.xml" /><Relationship Id="customR2589AD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hnacích agregátů osobních automobilů, kritérium c) - vyčtení paměti závad, pravidla pro vymazání paměti závad, nastavení intervalu servisní prohlídky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mechanických částí vznětových a zážehových motorů osobních automobilů, kritéria b) a c) - motor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2.10.2026 5:33:08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74D3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2285D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