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0D01F" Type="http://schemas.openxmlformats.org/officeDocument/2006/relationships/officeDocument" Target="/word/document.xml" /><Relationship Id="coreR1720D01F" Type="http://schemas.openxmlformats.org/package/2006/relationships/metadata/core-properties" Target="/docProps/core.xml" /><Relationship Id="customR1720D0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https://nsp.cz/jednotka-prace/mechanik-opravar-motorovy#zdravotni-zpusobilost).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pro vykonání zkoušky je předložení platného oprávnění k řízení vozidel skupiny „B“.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provádění praktického ověřování ve všech částech se klade důraz na: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osobního automobilu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osobního automobilu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zdrojové a startovací soustavy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provozní závadou, případně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ventilace a topení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automatickou či manuální klimatizací s provozní závadou nebo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osobní automobil se závadou v oblasti pojistkové skříňky či kabelového svazku a osobní automobil se závadou v oblasti spínací skříňky včetně čtečky kódu imobilizéru či signálu klíčku vozidla.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bude připraven osobní automobil vybavený alespoň jedním ze systému stabilizace podvozku (ESP), adaptivního tempomatu (ACC) či brzdového asistenta (BAS).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autorizovanou osobou připraven osobní automobil s provozní závadou nebo simulovanou závadou systému parkovacích senzorů a osobní automobil vybavený elektronickým systémem tlumení nebo pérování.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 Bratialava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Hejtmánek Petr,Dis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C2E88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