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EF813E" Type="http://schemas.openxmlformats.org/officeDocument/2006/relationships/officeDocument" Target="/word/document.xml" /><Relationship Id="coreR61EF813E" Type="http://schemas.openxmlformats.org/package/2006/relationships/metadata/core-properties" Target="/docProps/core.xml" /><Relationship Id="customR61EF81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vnitřních ochran proti atmosférickým přepětím (kód: 26-071-H)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její používání při montáži ochran proti atmosférickým přepětím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Montáž ochran proti atmosférickým přepětím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Údržba, opravy a kontrola zařízení s přepěťovými ochranami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připojení, opravě nebo pravidelné prověrce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vnitřních ochran proti atmosférickým přepětím, 2.10.2026 4:36:28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"https://www.nsp.cz/jednotka-prace/technik-udrzby-ochran"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https://www.nsp.cz/jednotka-prace/technik-udrzby-ochran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ochran proti atmosférickým přepětím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b) provede uchazeč montáž minimálně jednoho prvku přepěťové ochrany. V kritériu c) provede uchazeč pro splnění kritéria montáž minimálně jednoho prvku přepěťové ochrany. V kritériu d) provede uchazeč montáž minimálně jednoho prvku přepěťové ochrany u napájení datových sítí. V kritériu e) uchazeč provede montáž přepěťové ochrany proti atmosférickým výbojům (bleskojistky).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plnění jednotlivých kritérií se hodnotí i volba a použití ochranných a pracovních prostředků.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vnitřních ochran proti atmosférickým přepětím, 2.10.2026 4:36:28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vnitřních ochran proti atmosférickým přepětím, 2.10.2026 4:36:28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