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B84008" Type="http://schemas.openxmlformats.org/officeDocument/2006/relationships/officeDocument" Target="/word/document.xml" /><Relationship Id="coreR6BB84008" Type="http://schemas.openxmlformats.org/package/2006/relationships/metadata/core-properties" Target="/docProps/core.xml" /><Relationship Id="customR6BB840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pro merchandising (kód: 66-039-N)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příslušné obchodní legislativě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výrobků a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metod merchandisingu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Využítí merchandisingu v obchodě, ve sportu a v médiích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 xml:space="preserve">Aplikování  merchandisingu  při vystavování zboží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doplňkových aktivit merchandisingu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12.12.2021</w:t>
      </w:r>
    </w:p>
    <w:p>
      <w:pPr>
        <w:pStyle w:val="P21"/>
        <w:framePr w:w="7654" w:h="331" w:hRule="exact" w:wrap="none" w:vAnchor="page" w:hAnchor="margin" w:x="28" w:y="15940"/>
        <w:rPr>
          <w:rStyle w:val="C16"/>
          <w:rtl w:val="0"/>
        </w:rPr>
      </w:pPr>
      <w:r>
        <w:rPr>
          <w:rStyle w:val="C16"/>
          <w:rtl w:val="0"/>
        </w:rPr>
        <w:t>Specialista pro merchandising, 20.10.2026 11:39:19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postup práce na výpočetní technice při spouštění software plánogramu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postup práce na internetovém vyhledavači při vyhledávání modelových řešení regálového uložení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obsluhu technického a softwarového vybavení oddělení merchandisingu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Vytvořit plánogram části obchodní jednotky - ručně/s použitím příslušného software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 xml:space="preserve"> Je třeba splnit všechna kritéria.</w:t>
      </w:r>
    </w:p>
    <w:p>
      <w:pPr>
        <w:pStyle w:val="P23"/>
        <w:framePr w:w="10710" w:h="340" w:hRule="exact" w:wrap="none" w:vAnchor="page" w:hAnchor="margin" w:x="28" w:y="6504"/>
        <w:rPr>
          <w:rStyle w:val="C18"/>
          <w:rtl w:val="0"/>
        </w:rPr>
      </w:pPr>
      <w:r>
        <w:rPr>
          <w:rStyle w:val="C18"/>
          <w:rtl w:val="0"/>
        </w:rPr>
        <w:t>Orientace v příslušné obchodní legislativě</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Uvést zdroje přístupu k potřebné platné oborové legislativě</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Písemné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Uvést zásady hodnocení kvality dodávek výrobků a dodavatelů - EMS</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Písemné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Uvést základní zásady BOZP a PO pro uskladnění výrobků</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Popsat zásady metody kritických bodů - HACCP</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Orientace v katalogu výrobků a zboží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Předvést způsob orientace v katalogu výrobků - papírová/elektronická forma</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a ústní ověření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Vyhledat a popsat základní identifikační údaje vybraného výrobku dle předloženého katalogu</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 a ústní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Popsat základní certifikační normu jakosti vybraného výrobku a požadavky na jeho skladování</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Ústní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d) Popsat metody komunikace s obchodním partnerem</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Písemné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e) Sestavit nabídku podle druhů zboží a sortimentu na základě požadavků zákazníka</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Praktické předvedení a ústní ověření</w:t>
      </w:r>
    </w:p>
    <w:p>
      <w:pPr>
        <w:pStyle w:val="P32"/>
        <w:framePr w:w="10710" w:h="248" w:hRule="exact" w:wrap="none" w:vAnchor="page" w:hAnchor="margin" w:x="28" w:y="13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pro merchandising, 20.10.2026 11:39:19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metod merchandisingu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pojem "merchandising"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výraz "senzorický merchandising"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výraz "face-out merchandising"</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výraz "cross-merchandising"</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výraz "vertikální merchandising"</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výraz "pinball effect"</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Vysvětlit výraz "bumerangový efekt"</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Písemné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Vysvětlit výraz "problém zadní části obchodu"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Písemné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Specifikovat merchandising orientovaný na starší lidi</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Písemné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Specifikovat merchandising orientovaný na děti</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Písemné a ústní ověření</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340" w:hRule="exact" w:wrap="none" w:vAnchor="page" w:hAnchor="margin" w:x="28" w:y="7281"/>
        <w:rPr>
          <w:rStyle w:val="C18"/>
          <w:rtl w:val="0"/>
        </w:rPr>
      </w:pPr>
      <w:r>
        <w:rPr>
          <w:rStyle w:val="C18"/>
          <w:rtl w:val="0"/>
        </w:rPr>
        <w:t>Využítí merchandisingu v obchodě, ve sportu a v médiích</w:t>
      </w:r>
    </w:p>
    <w:p>
      <w:pPr>
        <w:pStyle w:val="P24"/>
        <w:framePr w:w="6713" w:h="376" w:hRule="exact" w:wrap="none" w:vAnchor="page" w:hAnchor="margin" w:x="45" w:y="7720"/>
        <w:rPr>
          <w:rStyle w:val="C3"/>
          <w:rtl w:val="0"/>
        </w:rPr>
      </w:pPr>
    </w:p>
    <w:p>
      <w:pPr>
        <w:pStyle w:val="P25"/>
        <w:framePr w:w="6661" w:h="249" w:hRule="exact" w:wrap="none" w:vAnchor="page" w:hAnchor="margin" w:x="71" w:y="7791"/>
        <w:rPr>
          <w:rStyle w:val="C19"/>
          <w:rtl w:val="0"/>
        </w:rPr>
      </w:pPr>
      <w:r>
        <w:rPr>
          <w:rStyle w:val="C19"/>
          <w:rtl w:val="0"/>
        </w:rPr>
        <w:t>Kritéria hodnocení</w:t>
      </w:r>
    </w:p>
    <w:p>
      <w:pPr>
        <w:pStyle w:val="P26"/>
        <w:framePr w:w="3918" w:h="376" w:hRule="exact" w:wrap="none" w:vAnchor="page" w:hAnchor="margin" w:x="6803" w:y="7720"/>
        <w:rPr>
          <w:rStyle w:val="C3"/>
          <w:rtl w:val="0"/>
        </w:rPr>
      </w:pPr>
    </w:p>
    <w:p>
      <w:pPr>
        <w:pStyle w:val="P27"/>
        <w:framePr w:w="3836" w:h="249" w:hRule="exact" w:wrap="none" w:vAnchor="page" w:hAnchor="margin" w:x="6859" w:y="7791"/>
        <w:rPr>
          <w:rStyle w:val="C20"/>
          <w:rtl w:val="0"/>
        </w:rPr>
      </w:pPr>
      <w:r>
        <w:rPr>
          <w:rStyle w:val="C20"/>
          <w:rtl w:val="0"/>
        </w:rPr>
        <w:t>Způsoby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a) Popsat využítí metod merchandisingu v obchodě</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Písemné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Popsat využítí merchandisingu ve sportu</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Písemné a ústní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Popsat využití merchandisingu v médiích</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Písemné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d) Popsat vztah mediálního a sportovního merchandisingu k maloobchodu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Písemné a ústní ověření</w:t>
      </w:r>
    </w:p>
    <w:p>
      <w:pPr>
        <w:pStyle w:val="P12"/>
        <w:framePr w:w="6710" w:h="607" w:hRule="exact" w:wrap="none" w:vAnchor="page" w:hAnchor="margin" w:x="45" w:y="9602"/>
        <w:rPr>
          <w:rStyle w:val="C3"/>
          <w:rtl w:val="0"/>
        </w:rPr>
      </w:pPr>
    </w:p>
    <w:p>
      <w:pPr>
        <w:pStyle w:val="P13"/>
        <w:framePr w:w="6658" w:h="480" w:hRule="exact" w:wrap="none" w:vAnchor="page" w:hAnchor="margin" w:x="71" w:y="9658"/>
        <w:rPr>
          <w:rStyle w:val="C11"/>
          <w:rtl w:val="0"/>
        </w:rPr>
      </w:pPr>
      <w:r>
        <w:rPr>
          <w:rStyle w:val="C11"/>
          <w:rtl w:val="0"/>
        </w:rPr>
        <w:t xml:space="preserve">e) Popsat význam  mediálního a sportovního merchandisingu pro maloobchod</w:t>
      </w:r>
    </w:p>
    <w:p>
      <w:pPr>
        <w:pStyle w:val="P28"/>
        <w:framePr w:w="3921" w:h="607" w:hRule="exact" w:wrap="none" w:vAnchor="page" w:hAnchor="margin" w:x="6800" w:y="9602"/>
        <w:rPr>
          <w:rStyle w:val="C3"/>
          <w:rtl w:val="0"/>
        </w:rPr>
      </w:pPr>
    </w:p>
    <w:p>
      <w:pPr>
        <w:pStyle w:val="P29"/>
        <w:framePr w:w="3839" w:h="480" w:hRule="exact" w:wrap="none" w:vAnchor="page" w:hAnchor="margin" w:x="6856" w:y="9658"/>
        <w:rPr>
          <w:rStyle w:val="C21"/>
          <w:rtl w:val="0"/>
        </w:rPr>
      </w:pPr>
      <w:r>
        <w:rPr>
          <w:rStyle w:val="C21"/>
          <w:rtl w:val="0"/>
        </w:rPr>
        <w:t>Písemné a ústní ověření</w:t>
      </w:r>
    </w:p>
    <w:p>
      <w:pPr>
        <w:pStyle w:val="P32"/>
        <w:framePr w:w="10710" w:h="248" w:hRule="exact" w:wrap="none" w:vAnchor="page" w:hAnchor="margin" w:x="28" w:y="10322"/>
        <w:rPr>
          <w:rStyle w:val="C23"/>
          <w:rtl w:val="0"/>
        </w:rPr>
      </w:pPr>
      <w:r>
        <w:rPr>
          <w:rStyle w:val="C23"/>
          <w:rtl w:val="0"/>
        </w:rPr>
        <w:t>Je třeba splnit všechna kritéria.</w:t>
      </w:r>
    </w:p>
    <w:p>
      <w:pPr>
        <w:pStyle w:val="P23"/>
        <w:framePr w:w="10710" w:h="340" w:hRule="exact" w:wrap="none" w:vAnchor="page" w:hAnchor="margin" w:x="28" w:y="10757"/>
        <w:rPr>
          <w:rStyle w:val="C18"/>
          <w:rtl w:val="0"/>
        </w:rPr>
      </w:pPr>
      <w:r>
        <w:rPr>
          <w:rStyle w:val="C18"/>
          <w:rtl w:val="0"/>
        </w:rPr>
        <w:t xml:space="preserve">Aplikování  merchandisingu  při vystavování zboží</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a) Popsat druhy výstavních míst</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Písemné a ústní ověření</w:t>
      </w:r>
    </w:p>
    <w:p>
      <w:pPr>
        <w:pStyle w:val="P16"/>
        <w:framePr w:w="6710" w:h="607" w:hRule="exact" w:wrap="none" w:vAnchor="page" w:hAnchor="margin" w:x="45" w:y="11949"/>
        <w:rPr>
          <w:rStyle w:val="C3"/>
          <w:rtl w:val="0"/>
        </w:rPr>
      </w:pPr>
    </w:p>
    <w:p>
      <w:pPr>
        <w:pStyle w:val="P17"/>
        <w:framePr w:w="6658" w:h="480" w:hRule="exact" w:wrap="none" w:vAnchor="page" w:hAnchor="margin" w:x="71" w:y="12005"/>
        <w:rPr>
          <w:rStyle w:val="C13"/>
          <w:rtl w:val="0"/>
        </w:rPr>
      </w:pPr>
      <w:r>
        <w:rPr>
          <w:rStyle w:val="C13"/>
          <w:rtl w:val="0"/>
        </w:rPr>
        <w:t>b) Předvést základní pravidlo FEFO (First Expired, First Out) při ukládání zboží do regálu</w:t>
      </w:r>
    </w:p>
    <w:p>
      <w:pPr>
        <w:pStyle w:val="P30"/>
        <w:framePr w:w="3921" w:h="607" w:hRule="exact" w:wrap="none" w:vAnchor="page" w:hAnchor="margin" w:x="6800" w:y="11949"/>
        <w:rPr>
          <w:rStyle w:val="C3"/>
          <w:rtl w:val="0"/>
        </w:rPr>
      </w:pPr>
    </w:p>
    <w:p>
      <w:pPr>
        <w:pStyle w:val="P31"/>
        <w:framePr w:w="3839" w:h="480" w:hRule="exact" w:wrap="none" w:vAnchor="page" w:hAnchor="margin" w:x="6856" w:y="12005"/>
        <w:rPr>
          <w:rStyle w:val="C22"/>
          <w:rtl w:val="0"/>
        </w:rPr>
      </w:pPr>
      <w:r>
        <w:rPr>
          <w:rStyle w:val="C22"/>
          <w:rtl w:val="0"/>
        </w:rPr>
        <w:t>Praktické předvedení a ústní ověření</w:t>
      </w:r>
    </w:p>
    <w:p>
      <w:pPr>
        <w:pStyle w:val="P12"/>
        <w:framePr w:w="6710" w:h="376" w:hRule="exact" w:wrap="none" w:vAnchor="page" w:hAnchor="margin" w:x="45" w:y="12556"/>
        <w:rPr>
          <w:rStyle w:val="C3"/>
          <w:rtl w:val="0"/>
        </w:rPr>
      </w:pPr>
    </w:p>
    <w:p>
      <w:pPr>
        <w:pStyle w:val="P13"/>
        <w:framePr w:w="6658" w:h="249" w:hRule="exact" w:wrap="none" w:vAnchor="page" w:hAnchor="margin" w:x="71" w:y="12612"/>
        <w:rPr>
          <w:rStyle w:val="C11"/>
          <w:rtl w:val="0"/>
        </w:rPr>
      </w:pPr>
      <w:r>
        <w:rPr>
          <w:rStyle w:val="C11"/>
          <w:rtl w:val="0"/>
        </w:rPr>
        <w:t>c) Popsat využítí listingu při doplňování zboží</w:t>
      </w:r>
    </w:p>
    <w:p>
      <w:pPr>
        <w:pStyle w:val="P28"/>
        <w:framePr w:w="3921" w:h="376" w:hRule="exact" w:wrap="none" w:vAnchor="page" w:hAnchor="margin" w:x="6800" w:y="12556"/>
        <w:rPr>
          <w:rStyle w:val="C3"/>
          <w:rtl w:val="0"/>
        </w:rPr>
      </w:pPr>
    </w:p>
    <w:p>
      <w:pPr>
        <w:pStyle w:val="P29"/>
        <w:framePr w:w="3839" w:h="249" w:hRule="exact" w:wrap="none" w:vAnchor="page" w:hAnchor="margin" w:x="6856" w:y="12612"/>
        <w:rPr>
          <w:rStyle w:val="C21"/>
          <w:rtl w:val="0"/>
        </w:rPr>
      </w:pPr>
      <w:r>
        <w:rPr>
          <w:rStyle w:val="C21"/>
          <w:rtl w:val="0"/>
        </w:rPr>
        <w:t>Písemné a ústní ověření</w:t>
      </w:r>
    </w:p>
    <w:p>
      <w:pPr>
        <w:pStyle w:val="P16"/>
        <w:framePr w:w="6710" w:h="376" w:hRule="exact" w:wrap="none" w:vAnchor="page" w:hAnchor="margin" w:x="45" w:y="12932"/>
        <w:rPr>
          <w:rStyle w:val="C3"/>
          <w:rtl w:val="0"/>
        </w:rPr>
      </w:pPr>
    </w:p>
    <w:p>
      <w:pPr>
        <w:pStyle w:val="P17"/>
        <w:framePr w:w="6658" w:h="249" w:hRule="exact" w:wrap="none" w:vAnchor="page" w:hAnchor="margin" w:x="71" w:y="12988"/>
        <w:rPr>
          <w:rStyle w:val="C13"/>
          <w:rtl w:val="0"/>
        </w:rPr>
      </w:pPr>
      <w:r>
        <w:rPr>
          <w:rStyle w:val="C13"/>
          <w:rtl w:val="0"/>
        </w:rPr>
        <w:t>d) Popsat tvorbu a využití plánogramu při doplňování zboží</w:t>
      </w:r>
    </w:p>
    <w:p>
      <w:pPr>
        <w:pStyle w:val="P30"/>
        <w:framePr w:w="3921" w:h="376" w:hRule="exact" w:wrap="none" w:vAnchor="page" w:hAnchor="margin" w:x="6800" w:y="12932"/>
        <w:rPr>
          <w:rStyle w:val="C3"/>
          <w:rtl w:val="0"/>
        </w:rPr>
      </w:pPr>
    </w:p>
    <w:p>
      <w:pPr>
        <w:pStyle w:val="P31"/>
        <w:framePr w:w="3839" w:h="249" w:hRule="exact" w:wrap="none" w:vAnchor="page" w:hAnchor="margin" w:x="6856" w:y="12988"/>
        <w:rPr>
          <w:rStyle w:val="C22"/>
          <w:rtl w:val="0"/>
        </w:rPr>
      </w:pPr>
      <w:r>
        <w:rPr>
          <w:rStyle w:val="C22"/>
          <w:rtl w:val="0"/>
        </w:rPr>
        <w:t>Písemné a ústní ověření</w:t>
      </w:r>
    </w:p>
    <w:p>
      <w:pPr>
        <w:pStyle w:val="P12"/>
        <w:framePr w:w="6710" w:h="376" w:hRule="exact" w:wrap="none" w:vAnchor="page" w:hAnchor="margin" w:x="45" w:y="13309"/>
        <w:rPr>
          <w:rStyle w:val="C3"/>
          <w:rtl w:val="0"/>
        </w:rPr>
      </w:pPr>
    </w:p>
    <w:p>
      <w:pPr>
        <w:pStyle w:val="P13"/>
        <w:framePr w:w="6658" w:h="249" w:hRule="exact" w:wrap="none" w:vAnchor="page" w:hAnchor="margin" w:x="71" w:y="13365"/>
        <w:rPr>
          <w:rStyle w:val="C11"/>
          <w:rtl w:val="0"/>
        </w:rPr>
      </w:pPr>
      <w:r>
        <w:rPr>
          <w:rStyle w:val="C11"/>
          <w:rtl w:val="0"/>
        </w:rPr>
        <w:t>e) Popsat eliminaci "stockoutu" (výpadku zboží) na prodejní ploše</w:t>
      </w:r>
    </w:p>
    <w:p>
      <w:pPr>
        <w:pStyle w:val="P28"/>
        <w:framePr w:w="3921" w:h="376" w:hRule="exact" w:wrap="none" w:vAnchor="page" w:hAnchor="margin" w:x="6800" w:y="13309"/>
        <w:rPr>
          <w:rStyle w:val="C3"/>
          <w:rtl w:val="0"/>
        </w:rPr>
      </w:pPr>
    </w:p>
    <w:p>
      <w:pPr>
        <w:pStyle w:val="P29"/>
        <w:framePr w:w="3839" w:h="249" w:hRule="exact" w:wrap="none" w:vAnchor="page" w:hAnchor="margin" w:x="6856" w:y="13365"/>
        <w:rPr>
          <w:rStyle w:val="C21"/>
          <w:rtl w:val="0"/>
        </w:rPr>
      </w:pPr>
      <w:r>
        <w:rPr>
          <w:rStyle w:val="C21"/>
          <w:rtl w:val="0"/>
        </w:rPr>
        <w:t>Písemné a ústní ověření</w:t>
      </w:r>
    </w:p>
    <w:p>
      <w:pPr>
        <w:pStyle w:val="P16"/>
        <w:framePr w:w="6710" w:h="607" w:hRule="exact" w:wrap="none" w:vAnchor="page" w:hAnchor="margin" w:x="45" w:y="13685"/>
        <w:rPr>
          <w:rStyle w:val="C3"/>
          <w:rtl w:val="0"/>
        </w:rPr>
      </w:pPr>
    </w:p>
    <w:p>
      <w:pPr>
        <w:pStyle w:val="P17"/>
        <w:framePr w:w="6658" w:h="480" w:hRule="exact" w:wrap="none" w:vAnchor="page" w:hAnchor="margin" w:x="71" w:y="13741"/>
        <w:rPr>
          <w:rStyle w:val="C13"/>
          <w:rtl w:val="0"/>
        </w:rPr>
      </w:pPr>
      <w:r>
        <w:rPr>
          <w:rStyle w:val="C13"/>
          <w:rtl w:val="0"/>
        </w:rPr>
        <w:t>f) Popsat způsoby zajištění druhotných vystavení ( tzv. secondery placement a displaye)</w:t>
      </w:r>
    </w:p>
    <w:p>
      <w:pPr>
        <w:pStyle w:val="P30"/>
        <w:framePr w:w="3921" w:h="607" w:hRule="exact" w:wrap="none" w:vAnchor="page" w:hAnchor="margin" w:x="6800" w:y="13685"/>
        <w:rPr>
          <w:rStyle w:val="C3"/>
          <w:rtl w:val="0"/>
        </w:rPr>
      </w:pPr>
    </w:p>
    <w:p>
      <w:pPr>
        <w:pStyle w:val="P31"/>
        <w:framePr w:w="3839" w:h="480" w:hRule="exact" w:wrap="none" w:vAnchor="page" w:hAnchor="margin" w:x="6856" w:y="13741"/>
        <w:rPr>
          <w:rStyle w:val="C22"/>
          <w:rtl w:val="0"/>
        </w:rPr>
      </w:pPr>
      <w:r>
        <w:rPr>
          <w:rStyle w:val="C22"/>
          <w:rtl w:val="0"/>
        </w:rPr>
        <w:t>Písemné a ústní ověření</w:t>
      </w:r>
    </w:p>
    <w:p>
      <w:pPr>
        <w:pStyle w:val="P12"/>
        <w:framePr w:w="6710" w:h="376" w:hRule="exact" w:wrap="none" w:vAnchor="page" w:hAnchor="margin" w:x="45" w:y="14292"/>
        <w:rPr>
          <w:rStyle w:val="C3"/>
          <w:rtl w:val="0"/>
        </w:rPr>
      </w:pPr>
    </w:p>
    <w:p>
      <w:pPr>
        <w:pStyle w:val="P13"/>
        <w:framePr w:w="6658" w:h="249" w:hRule="exact" w:wrap="none" w:vAnchor="page" w:hAnchor="margin" w:x="71" w:y="14348"/>
        <w:rPr>
          <w:rStyle w:val="C11"/>
          <w:rtl w:val="0"/>
        </w:rPr>
      </w:pPr>
      <w:r>
        <w:rPr>
          <w:rStyle w:val="C11"/>
          <w:rtl w:val="0"/>
        </w:rPr>
        <w:t>g) Popsat způsoby remodelingu v návaznosti na změny plánogramů</w:t>
      </w:r>
    </w:p>
    <w:p>
      <w:pPr>
        <w:pStyle w:val="P28"/>
        <w:framePr w:w="3921" w:h="376" w:hRule="exact" w:wrap="none" w:vAnchor="page" w:hAnchor="margin" w:x="6800" w:y="14292"/>
        <w:rPr>
          <w:rStyle w:val="C3"/>
          <w:rtl w:val="0"/>
        </w:rPr>
      </w:pPr>
    </w:p>
    <w:p>
      <w:pPr>
        <w:pStyle w:val="P29"/>
        <w:framePr w:w="3839" w:h="249" w:hRule="exact" w:wrap="none" w:vAnchor="page" w:hAnchor="margin" w:x="6856" w:y="14348"/>
        <w:rPr>
          <w:rStyle w:val="C21"/>
          <w:rtl w:val="0"/>
        </w:rPr>
      </w:pPr>
      <w:r>
        <w:rPr>
          <w:rStyle w:val="C21"/>
          <w:rtl w:val="0"/>
        </w:rPr>
        <w:t>Ústní ověření</w:t>
      </w:r>
    </w:p>
    <w:p>
      <w:pPr>
        <w:pStyle w:val="P16"/>
        <w:framePr w:w="6710" w:h="376" w:hRule="exact" w:wrap="none" w:vAnchor="page" w:hAnchor="margin" w:x="45" w:y="14668"/>
        <w:rPr>
          <w:rStyle w:val="C3"/>
          <w:rtl w:val="0"/>
        </w:rPr>
      </w:pPr>
    </w:p>
    <w:p>
      <w:pPr>
        <w:pStyle w:val="P17"/>
        <w:framePr w:w="6658" w:h="249" w:hRule="exact" w:wrap="none" w:vAnchor="page" w:hAnchor="margin" w:x="71" w:y="14724"/>
        <w:rPr>
          <w:rStyle w:val="C13"/>
          <w:rtl w:val="0"/>
        </w:rPr>
      </w:pPr>
      <w:r>
        <w:rPr>
          <w:rStyle w:val="C13"/>
          <w:rtl w:val="0"/>
        </w:rPr>
        <w:t>h) Popsat pojmy denzita a přístupnost výstavního místa</w:t>
      </w:r>
    </w:p>
    <w:p>
      <w:pPr>
        <w:pStyle w:val="P30"/>
        <w:framePr w:w="3921" w:h="376" w:hRule="exact" w:wrap="none" w:vAnchor="page" w:hAnchor="margin" w:x="6800" w:y="14668"/>
        <w:rPr>
          <w:rStyle w:val="C3"/>
          <w:rtl w:val="0"/>
        </w:rPr>
      </w:pPr>
    </w:p>
    <w:p>
      <w:pPr>
        <w:pStyle w:val="P31"/>
        <w:framePr w:w="3839" w:h="249" w:hRule="exact" w:wrap="none" w:vAnchor="page" w:hAnchor="margin" w:x="6856" w:y="14724"/>
        <w:rPr>
          <w:rStyle w:val="C22"/>
          <w:rtl w:val="0"/>
        </w:rPr>
      </w:pPr>
      <w:r>
        <w:rPr>
          <w:rStyle w:val="C22"/>
          <w:rtl w:val="0"/>
        </w:rPr>
        <w:t>Písemné a ústní ověření</w:t>
      </w:r>
    </w:p>
    <w:p>
      <w:pPr>
        <w:pStyle w:val="P12"/>
        <w:framePr w:w="6710" w:h="376" w:hRule="exact" w:wrap="none" w:vAnchor="page" w:hAnchor="margin" w:x="45" w:y="15044"/>
        <w:rPr>
          <w:rStyle w:val="C3"/>
          <w:rtl w:val="0"/>
        </w:rPr>
      </w:pPr>
    </w:p>
    <w:p>
      <w:pPr>
        <w:pStyle w:val="P13"/>
        <w:framePr w:w="6658" w:h="249" w:hRule="exact" w:wrap="none" w:vAnchor="page" w:hAnchor="margin" w:x="71" w:y="15100"/>
        <w:rPr>
          <w:rStyle w:val="C11"/>
          <w:rtl w:val="0"/>
        </w:rPr>
      </w:pPr>
      <w:r>
        <w:rPr>
          <w:rStyle w:val="C11"/>
          <w:rtl w:val="0"/>
        </w:rPr>
        <w:t>i) Popsat pojem "hot spot"</w:t>
      </w:r>
    </w:p>
    <w:p>
      <w:pPr>
        <w:pStyle w:val="P28"/>
        <w:framePr w:w="3921" w:h="376" w:hRule="exact" w:wrap="none" w:vAnchor="page" w:hAnchor="margin" w:x="6800" w:y="15044"/>
        <w:rPr>
          <w:rStyle w:val="C3"/>
          <w:rtl w:val="0"/>
        </w:rPr>
      </w:pPr>
    </w:p>
    <w:p>
      <w:pPr>
        <w:pStyle w:val="P29"/>
        <w:framePr w:w="3839" w:h="249" w:hRule="exact" w:wrap="none" w:vAnchor="page" w:hAnchor="margin" w:x="6856" w:y="15100"/>
        <w:rPr>
          <w:rStyle w:val="C21"/>
          <w:rtl w:val="0"/>
        </w:rPr>
      </w:pPr>
      <w:r>
        <w:rPr>
          <w:rStyle w:val="C21"/>
          <w:rtl w:val="0"/>
        </w:rPr>
        <w:t>Písemné a ústní ověření</w:t>
      </w:r>
    </w:p>
    <w:p>
      <w:pPr>
        <w:pStyle w:val="P32"/>
        <w:framePr w:w="10710" w:h="248" w:hRule="exact" w:wrap="none" w:vAnchor="page" w:hAnchor="margin" w:x="28" w:y="155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pro merchandising, 20.10.2026 11:39:19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Realizace doplňkových aktivit merchandisingu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práci s cenovkami a jejich náležitosti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práce s poškozeným zbožím a systém vratek včetně reportingu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sběr informací v průběhu servisu a další práci s nimi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péče o prodejní a skladové místo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Vyjmenovat jednotlivé varianty tzv. PROMO akcí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pro merchandising, 20.10.2026 11:39:19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271"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396" w:hRule="exact" w:wrap="none" w:vAnchor="page" w:hAnchor="margin" w:x="0" w:y="8471"/>
        <w:rPr>
          <w:rStyle w:val="C3"/>
          <w:rtl w:val="0"/>
        </w:rPr>
      </w:pPr>
    </w:p>
    <w:p>
      <w:pPr>
        <w:pStyle w:val="P35"/>
        <w:framePr w:w="10710" w:h="547" w:hRule="exact" w:wrap="none" w:vAnchor="page" w:hAnchor="margin" w:x="28" w:y="8471"/>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901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marketingu a alespoň 5 let praxe jako osoba odpovědná za řízení činností v oblasti marketingu, nebo ve funkci učitele odborných ekonomických předmětů, z toho minimálně jeden rok v období posledních dvou let před podáním žádosti o udělení autorizace.</w:t>
      </w:r>
    </w:p>
    <w:p>
      <w:pPr>
        <w:keepNext w:val="0"/>
        <w:keepLines w:val="1"/>
        <w:framePr w:w="10766" w:h="6849" w:hRule="exact" w:wrap="none" w:vAnchor="page" w:hAnchor="margin" w:x="0" w:y="901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marketing a alespoň 5 let praxe jako osoba odpovědná za řízení činnosti v oblasti marketing, nebo ve funkci učitele odborných ekonomických předmětů, z toho minimálně jeden rok v období posledních dvou let před podáním žádosti o udělení autorizace. </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90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90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 pro merchandising, 20.10.2026 11:39:19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prostory vybavené počítačem, monitorem, tiskárnou a připojením na internet</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modelování prodejny z pohledu rozmístění zařízení a uložení produktů</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prodejní prostor s prodejními regály a zbožím</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 ověření znalostí je dále nutno zajistit potřebné psací potřeby a tiskopisy pro ověření znalostí v oblasti BOZP a PO, HACCP, legislativy, EMS a certifikačních norem a katalog výrobků pro ověření erientace v katalozích (jednotlivé zkratky jsou popsány výše)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písemnou přípravu</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57"/>
        <w:rPr>
          <w:rStyle w:val="C3"/>
          <w:rtl w:val="0"/>
        </w:rPr>
      </w:pPr>
    </w:p>
    <w:p>
      <w:pPr>
        <w:pStyle w:val="P35"/>
        <w:framePr w:w="10710" w:h="340" w:hRule="exact" w:wrap="none" w:vAnchor="page" w:hAnchor="margin" w:x="28" w:y="7257"/>
        <w:rPr>
          <w:rStyle w:val="C25"/>
          <w:rtl w:val="0"/>
        </w:rPr>
      </w:pPr>
      <w:r>
        <w:rPr>
          <w:rStyle w:val="C25"/>
          <w:rtl w:val="0"/>
        </w:rPr>
        <w:t>Doba přípravy na zkoušku</w:t>
      </w:r>
    </w:p>
    <w:p>
      <w:pPr>
        <w:keepNext w:val="0"/>
        <w:keepLines w:val="0"/>
        <w:framePr w:w="10766" w:h="1036" w:hRule="exact" w:wrap="none" w:vAnchor="page" w:hAnchor="margin" w:x="0" w:y="7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8860"/>
        <w:rPr>
          <w:rStyle w:val="C3"/>
          <w:rtl w:val="0"/>
        </w:rPr>
      </w:pPr>
    </w:p>
    <w:p>
      <w:pPr>
        <w:pStyle w:val="P35"/>
        <w:framePr w:w="10710" w:h="340" w:hRule="exact" w:wrap="none" w:vAnchor="page" w:hAnchor="margin" w:x="28" w:y="8860"/>
        <w:rPr>
          <w:rStyle w:val="C25"/>
          <w:rtl w:val="0"/>
        </w:rPr>
      </w:pPr>
      <w:r>
        <w:rPr>
          <w:rStyle w:val="C25"/>
          <w:rtl w:val="0"/>
        </w:rPr>
        <w:t>Doba pro vykonání zkoušky</w:t>
      </w:r>
    </w:p>
    <w:p>
      <w:pPr>
        <w:keepNext w:val="0"/>
        <w:keepLines w:val="0"/>
        <w:framePr w:w="10766" w:h="806" w:hRule="exact" w:wrap="none" w:vAnchor="page" w:hAnchor="margin" w:x="0" w:y="9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Specialista pro merchandising, 20.10.2026 11:39:19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Uherský Ostroh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SČMSD Praha,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 pro merchandising, 20.10.2026 11:39:19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7588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99B9D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