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827DD3" Type="http://schemas.openxmlformats.org/officeDocument/2006/relationships/officeDocument" Target="/word/document.xml" /><Relationship Id="coreR7A827DD3" Type="http://schemas.openxmlformats.org/package/2006/relationships/metadata/core-properties" Target="/docProps/core.xml" /><Relationship Id="customR7A827D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závlahových soustav (kód: 36-156-M)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závlahových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závlahových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závlah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závlahových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závlahových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závlahové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závlahové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závlahové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závlahové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závlahové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Popsat způsoby bilancování zdrojů vody pro závlahu a úsporná opatření pro snížení potřeby závlahové vody</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Vyjmenovat požadavky na kvalitu závlahové vody</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w:t>
        <w:br w:type="textWrapping"/>
        <w:t>vodoprávních, ochrany zemědělského půdního fondu, ochrany přírody, apod.</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Stanovit vláhovou potřebu rostlin, provést orientační výpočet závlahového množství a závlahové dávky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závlah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d) Popsat způsob doložení nároku na bezplatný odběr závlahové vody</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Ústní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e) Popsat úlohu státu při podpoře meliorací (podmínky dotací na výstavbu a provoz z prostředků MZe, formy podpory ze strany SPÚ)</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f) Popsat alternativní zdroje vody pro závlahu včetně možných legislativních omezení (zahrnuje závlahu odpadní vodou)</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g) Vyjmenovat hlavní účastníky závlahového provozu a popsat varianty společné péče/provozu HZZ a PZZ</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Využívání veřejně přístupných informačních systémů pro meliorace</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Ústní ověření</w:t>
      </w:r>
    </w:p>
    <w:p>
      <w:pPr>
        <w:pStyle w:val="P16"/>
        <w:framePr w:w="6710" w:h="831" w:hRule="exact" w:wrap="none" w:vAnchor="page" w:hAnchor="margin" w:x="45" w:y="12501"/>
        <w:rPr>
          <w:rStyle w:val="C3"/>
          <w:rtl w:val="0"/>
        </w:rPr>
      </w:pPr>
    </w:p>
    <w:p>
      <w:pPr>
        <w:pStyle w:val="P17"/>
        <w:framePr w:w="6658" w:h="704" w:hRule="exact" w:wrap="none" w:vAnchor="page" w:hAnchor="margin" w:x="71" w:y="12557"/>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2501"/>
        <w:rPr>
          <w:rStyle w:val="C3"/>
          <w:rtl w:val="0"/>
        </w:rPr>
      </w:pPr>
    </w:p>
    <w:p>
      <w:pPr>
        <w:pStyle w:val="P31"/>
        <w:framePr w:w="3839" w:h="704"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332"/>
        <w:rPr>
          <w:rStyle w:val="C3"/>
          <w:rtl w:val="0"/>
        </w:rPr>
      </w:pPr>
    </w:p>
    <w:p>
      <w:pPr>
        <w:pStyle w:val="P13"/>
        <w:framePr w:w="6658" w:h="480" w:hRule="exact" w:wrap="none" w:vAnchor="page" w:hAnchor="margin" w:x="71" w:y="13388"/>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3332"/>
        <w:rPr>
          <w:rStyle w:val="C3"/>
          <w:rtl w:val="0"/>
        </w:rPr>
      </w:pPr>
    </w:p>
    <w:p>
      <w:pPr>
        <w:pStyle w:val="P29"/>
        <w:framePr w:w="3839" w:h="480" w:hRule="exact" w:wrap="none" w:vAnchor="page" w:hAnchor="margin" w:x="6856" w:y="13388"/>
        <w:rPr>
          <w:rStyle w:val="C21"/>
          <w:rtl w:val="0"/>
        </w:rPr>
      </w:pPr>
      <w:r>
        <w:rPr>
          <w:rStyle w:val="C21"/>
          <w:rtl w:val="0"/>
        </w:rPr>
        <w:t>Praktické předvedení a ústní ověření</w:t>
      </w:r>
    </w:p>
    <w:p>
      <w:pPr>
        <w:pStyle w:val="P16"/>
        <w:framePr w:w="6710" w:h="607" w:hRule="exact" w:wrap="none" w:vAnchor="page" w:hAnchor="margin" w:x="45" w:y="13939"/>
        <w:rPr>
          <w:rStyle w:val="C3"/>
          <w:rtl w:val="0"/>
        </w:rPr>
      </w:pPr>
    </w:p>
    <w:p>
      <w:pPr>
        <w:pStyle w:val="P17"/>
        <w:framePr w:w="6658" w:h="480" w:hRule="exact" w:wrap="none" w:vAnchor="page" w:hAnchor="margin" w:x="71" w:y="13995"/>
        <w:rPr>
          <w:rStyle w:val="C13"/>
          <w:rtl w:val="0"/>
        </w:rPr>
      </w:pPr>
      <w:r>
        <w:rPr>
          <w:rStyle w:val="C13"/>
          <w:rtl w:val="0"/>
        </w:rPr>
        <w:t>d) Popsat informační zdroje o vláhově deficitních oblastech, erozní ohroženosti pozemků aj.</w:t>
      </w:r>
    </w:p>
    <w:p>
      <w:pPr>
        <w:pStyle w:val="P30"/>
        <w:framePr w:w="3921" w:h="607" w:hRule="exact" w:wrap="none" w:vAnchor="page" w:hAnchor="margin" w:x="6800" w:y="13939"/>
        <w:rPr>
          <w:rStyle w:val="C3"/>
          <w:rtl w:val="0"/>
        </w:rPr>
      </w:pPr>
    </w:p>
    <w:p>
      <w:pPr>
        <w:pStyle w:val="P31"/>
        <w:framePr w:w="3839" w:h="480" w:hRule="exact" w:wrap="none" w:vAnchor="page" w:hAnchor="margin" w:x="6856" w:y="13995"/>
        <w:rPr>
          <w:rStyle w:val="C22"/>
          <w:rtl w:val="0"/>
        </w:rPr>
      </w:pPr>
      <w:r>
        <w:rPr>
          <w:rStyle w:val="C22"/>
          <w:rtl w:val="0"/>
        </w:rPr>
        <w:t>Ústní ověření</w:t>
      </w:r>
    </w:p>
    <w:p>
      <w:pPr>
        <w:pStyle w:val="P12"/>
        <w:framePr w:w="6710" w:h="376" w:hRule="exact" w:wrap="none" w:vAnchor="page" w:hAnchor="margin" w:x="45" w:y="14545"/>
        <w:rPr>
          <w:rStyle w:val="C3"/>
          <w:rtl w:val="0"/>
        </w:rPr>
      </w:pPr>
    </w:p>
    <w:p>
      <w:pPr>
        <w:pStyle w:val="P13"/>
        <w:framePr w:w="6658" w:h="249" w:hRule="exact" w:wrap="none" w:vAnchor="page" w:hAnchor="margin" w:x="71" w:y="14601"/>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4545"/>
        <w:rPr>
          <w:rStyle w:val="C3"/>
          <w:rtl w:val="0"/>
        </w:rPr>
      </w:pPr>
    </w:p>
    <w:p>
      <w:pPr>
        <w:pStyle w:val="P29"/>
        <w:framePr w:w="3839" w:h="249" w:hRule="exact" w:wrap="none" w:vAnchor="page" w:hAnchor="margin" w:x="6856" w:y="14601"/>
        <w:rPr>
          <w:rStyle w:val="C21"/>
          <w:rtl w:val="0"/>
        </w:rPr>
      </w:pPr>
      <w:r>
        <w:rPr>
          <w:rStyle w:val="C21"/>
          <w:rtl w:val="0"/>
        </w:rPr>
        <w:t>Praktické předvedení</w:t>
      </w:r>
    </w:p>
    <w:p>
      <w:pPr>
        <w:pStyle w:val="P32"/>
        <w:framePr w:w="10710" w:h="248" w:hRule="exact" w:wrap="none" w:vAnchor="page" w:hAnchor="margin" w:x="28" w:y="150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závlahových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provoz závlahové soustavy a funkci jednotlivých objektů hlavního závlahového zařízení (nádrže, odběrné objekty, čerpací stanice, kanály, závlahové potrubí, a objekty na nich) podle předložené dokumentace, provozního řádu, manipulačního řádu a povolení k odběru závlahové vody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Vysvětlit a zdůvodnit kontrolu funkce objektů hlavního závlahového zařízení podle pokynů autorizované osoby (čerpacích stanic, hydrantů, vzdušníků, kalníků, montážních šachet, protlaků a dalších objektů na tlakovém hlavním závlahovém zařízení)</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 a ústní ověření</w:t>
      </w:r>
    </w:p>
    <w:p>
      <w:pPr>
        <w:pStyle w:val="P12"/>
        <w:framePr w:w="6710" w:h="1280" w:hRule="exact" w:wrap="none" w:vAnchor="page" w:hAnchor="margin" w:x="45" w:y="5080"/>
        <w:rPr>
          <w:rStyle w:val="C3"/>
          <w:rtl w:val="0"/>
        </w:rPr>
      </w:pPr>
    </w:p>
    <w:p>
      <w:pPr>
        <w:pStyle w:val="P13"/>
        <w:framePr w:w="6658" w:h="1153" w:hRule="exact" w:wrap="none" w:vAnchor="page" w:hAnchor="margin" w:x="71" w:y="5136"/>
        <w:rPr>
          <w:rStyle w:val="C11"/>
          <w:rtl w:val="0"/>
        </w:rPr>
      </w:pPr>
      <w:r>
        <w:rPr>
          <w:rStyle w:val="C11"/>
          <w:rtl w:val="0"/>
        </w:rPr>
        <w:t>c) Předvést a zdůvodnit kontrolu stavu průtočnosti otevřených a krytých závlahových kanálů, propustků, stavu břehových opevnění, funkčnosti příslušenství podle pokynů autorizované osoby (stavítek, výpustí, zpětných klapek, shybek, akvaduktů) a břehových porostů na gravitačním hlavním závlahovém zařízení</w:t>
      </w:r>
    </w:p>
    <w:p>
      <w:pPr>
        <w:pStyle w:val="P28"/>
        <w:framePr w:w="3921" w:h="1280" w:hRule="exact" w:wrap="none" w:vAnchor="page" w:hAnchor="margin" w:x="6800" w:y="5080"/>
        <w:rPr>
          <w:rStyle w:val="C3"/>
          <w:rtl w:val="0"/>
        </w:rPr>
      </w:pPr>
    </w:p>
    <w:p>
      <w:pPr>
        <w:pStyle w:val="P29"/>
        <w:framePr w:w="3839" w:h="1153" w:hRule="exact" w:wrap="none" w:vAnchor="page" w:hAnchor="margin" w:x="6856" w:y="5136"/>
        <w:rPr>
          <w:rStyle w:val="C21"/>
          <w:rtl w:val="0"/>
        </w:rPr>
      </w:pPr>
      <w:r>
        <w:rPr>
          <w:rStyle w:val="C21"/>
          <w:rtl w:val="0"/>
        </w:rPr>
        <w:t>Praktické předvedení a ústní ověření</w:t>
      </w:r>
    </w:p>
    <w:p>
      <w:pPr>
        <w:pStyle w:val="P16"/>
        <w:framePr w:w="6710" w:h="1055" w:hRule="exact" w:wrap="none" w:vAnchor="page" w:hAnchor="margin" w:x="45" w:y="6360"/>
        <w:rPr>
          <w:rStyle w:val="C3"/>
          <w:rtl w:val="0"/>
        </w:rPr>
      </w:pPr>
    </w:p>
    <w:p>
      <w:pPr>
        <w:pStyle w:val="P17"/>
        <w:framePr w:w="6658" w:h="928" w:hRule="exact" w:wrap="none" w:vAnchor="page" w:hAnchor="margin" w:x="71" w:y="6416"/>
        <w:rPr>
          <w:rStyle w:val="C13"/>
          <w:rtl w:val="0"/>
        </w:rPr>
      </w:pPr>
      <w:r>
        <w:rPr>
          <w:rStyle w:val="C13"/>
          <w:rtl w:val="0"/>
        </w:rPr>
        <w:t>d) Předvést provoz, obsluhu nebo údržbu závlahového detailu podle pokynů autorizované osoby (přenosné potrubí a armatury na něm, postřikovače, pásové zavlažovače, širokozáběrové zavlažovací stroje nebo zavlažovací hadice s kapkovači)</w:t>
      </w:r>
    </w:p>
    <w:p>
      <w:pPr>
        <w:pStyle w:val="P30"/>
        <w:framePr w:w="3921" w:h="1055" w:hRule="exact" w:wrap="none" w:vAnchor="page" w:hAnchor="margin" w:x="6800" w:y="6360"/>
        <w:rPr>
          <w:rStyle w:val="C3"/>
          <w:rtl w:val="0"/>
        </w:rPr>
      </w:pPr>
    </w:p>
    <w:p>
      <w:pPr>
        <w:pStyle w:val="P31"/>
        <w:framePr w:w="3839" w:h="928"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7415"/>
        <w:rPr>
          <w:rStyle w:val="C3"/>
          <w:rtl w:val="0"/>
        </w:rPr>
      </w:pPr>
    </w:p>
    <w:p>
      <w:pPr>
        <w:pStyle w:val="P13"/>
        <w:framePr w:w="6658" w:h="480" w:hRule="exact" w:wrap="none" w:vAnchor="page" w:hAnchor="margin" w:x="71" w:y="7471"/>
        <w:rPr>
          <w:rStyle w:val="C11"/>
          <w:rtl w:val="0"/>
        </w:rPr>
      </w:pPr>
      <w:r>
        <w:rPr>
          <w:rStyle w:val="C11"/>
          <w:rtl w:val="0"/>
        </w:rPr>
        <w:t>e) Vyjmenovat a vysvětlit druhy závlahy podle účelu, podle způsobu rozvodu a dávkování vody a podle jakosti závlahové vody</w:t>
      </w:r>
    </w:p>
    <w:p>
      <w:pPr>
        <w:pStyle w:val="P28"/>
        <w:framePr w:w="3921" w:h="607" w:hRule="exact" w:wrap="none" w:vAnchor="page" w:hAnchor="margin" w:x="6800" w:y="7415"/>
        <w:rPr>
          <w:rStyle w:val="C3"/>
          <w:rtl w:val="0"/>
        </w:rPr>
      </w:pPr>
    </w:p>
    <w:p>
      <w:pPr>
        <w:pStyle w:val="P29"/>
        <w:framePr w:w="3839" w:h="480" w:hRule="exact" w:wrap="none" w:vAnchor="page" w:hAnchor="margin" w:x="6856" w:y="7471"/>
        <w:rPr>
          <w:rStyle w:val="C21"/>
          <w:rtl w:val="0"/>
        </w:rPr>
      </w:pPr>
      <w:r>
        <w:rPr>
          <w:rStyle w:val="C21"/>
          <w:rtl w:val="0"/>
        </w:rPr>
        <w:t>Ústní ověření</w:t>
      </w:r>
    </w:p>
    <w:p>
      <w:pPr>
        <w:pStyle w:val="P16"/>
        <w:framePr w:w="6710" w:h="831" w:hRule="exact" w:wrap="none" w:vAnchor="page" w:hAnchor="margin" w:x="45" w:y="8022"/>
        <w:rPr>
          <w:rStyle w:val="C3"/>
          <w:rtl w:val="0"/>
        </w:rPr>
      </w:pPr>
    </w:p>
    <w:p>
      <w:pPr>
        <w:pStyle w:val="P17"/>
        <w:framePr w:w="6658" w:h="704" w:hRule="exact" w:wrap="none" w:vAnchor="page" w:hAnchor="margin" w:x="71" w:y="8078"/>
        <w:rPr>
          <w:rStyle w:val="C13"/>
          <w:rtl w:val="0"/>
        </w:rPr>
      </w:pPr>
      <w:r>
        <w:rPr>
          <w:rStyle w:val="C13"/>
          <w:rtl w:val="0"/>
        </w:rPr>
        <w:t>f) Popsat a zdůvodnit získávání klimatických meteorologických, hydrologických a hydropedologických údajů a jejich aplikaci při návrhu a řízení provozu závlahové stavby</w:t>
      </w:r>
    </w:p>
    <w:p>
      <w:pPr>
        <w:pStyle w:val="P30"/>
        <w:framePr w:w="3921" w:h="831" w:hRule="exact" w:wrap="none" w:vAnchor="page" w:hAnchor="margin" w:x="6800" w:y="8022"/>
        <w:rPr>
          <w:rStyle w:val="C3"/>
          <w:rtl w:val="0"/>
        </w:rPr>
      </w:pPr>
    </w:p>
    <w:p>
      <w:pPr>
        <w:pStyle w:val="P31"/>
        <w:framePr w:w="3839" w:h="704" w:hRule="exact" w:wrap="none" w:vAnchor="page" w:hAnchor="margin" w:x="6856" w:y="8078"/>
        <w:rPr>
          <w:rStyle w:val="C22"/>
          <w:rtl w:val="0"/>
        </w:rPr>
      </w:pPr>
      <w:r>
        <w:rPr>
          <w:rStyle w:val="C22"/>
          <w:rtl w:val="0"/>
        </w:rPr>
        <w:t>Ústní ověření</w:t>
      </w:r>
    </w:p>
    <w:p>
      <w:pPr>
        <w:pStyle w:val="P12"/>
        <w:framePr w:w="6710" w:h="831" w:hRule="exact" w:wrap="none" w:vAnchor="page" w:hAnchor="margin" w:x="45" w:y="8853"/>
        <w:rPr>
          <w:rStyle w:val="C3"/>
          <w:rtl w:val="0"/>
        </w:rPr>
      </w:pPr>
    </w:p>
    <w:p>
      <w:pPr>
        <w:pStyle w:val="P13"/>
        <w:framePr w:w="6658" w:h="704" w:hRule="exact" w:wrap="none" w:vAnchor="page" w:hAnchor="margin" w:x="71" w:y="8909"/>
        <w:rPr>
          <w:rStyle w:val="C11"/>
          <w:rtl w:val="0"/>
        </w:rPr>
      </w:pPr>
      <w:r>
        <w:rPr>
          <w:rStyle w:val="C11"/>
          <w:rtl w:val="0"/>
        </w:rPr>
        <w:t>g) Předvést a zdůvodnit kontrolu způsobů hospodaření v povodí a vhodnosti agrotechnických opatření s důrazem na protierozní ochranu pozemků a na stávající nebo potenciální zdroj závlahové vody</w:t>
      </w:r>
    </w:p>
    <w:p>
      <w:pPr>
        <w:pStyle w:val="P28"/>
        <w:framePr w:w="3921" w:h="831" w:hRule="exact" w:wrap="none" w:vAnchor="page" w:hAnchor="margin" w:x="6800" w:y="8853"/>
        <w:rPr>
          <w:rStyle w:val="C3"/>
          <w:rtl w:val="0"/>
        </w:rPr>
      </w:pPr>
    </w:p>
    <w:p>
      <w:pPr>
        <w:pStyle w:val="P29"/>
        <w:framePr w:w="3839" w:h="704" w:hRule="exact" w:wrap="none" w:vAnchor="page" w:hAnchor="margin" w:x="6856" w:y="8909"/>
        <w:rPr>
          <w:rStyle w:val="C21"/>
          <w:rtl w:val="0"/>
        </w:rPr>
      </w:pPr>
      <w:r>
        <w:rPr>
          <w:rStyle w:val="C21"/>
          <w:rtl w:val="0"/>
        </w:rPr>
        <w:t>Praktické předvedení a ústní ověření</w:t>
      </w:r>
    </w:p>
    <w:p>
      <w:pPr>
        <w:pStyle w:val="P16"/>
        <w:framePr w:w="6710" w:h="607" w:hRule="exact" w:wrap="none" w:vAnchor="page" w:hAnchor="margin" w:x="45" w:y="9684"/>
        <w:rPr>
          <w:rStyle w:val="C3"/>
          <w:rtl w:val="0"/>
        </w:rPr>
      </w:pPr>
    </w:p>
    <w:p>
      <w:pPr>
        <w:pStyle w:val="P17"/>
        <w:framePr w:w="6658" w:h="480" w:hRule="exact" w:wrap="none" w:vAnchor="page" w:hAnchor="margin" w:x="71" w:y="9740"/>
        <w:rPr>
          <w:rStyle w:val="C13"/>
          <w:rtl w:val="0"/>
        </w:rPr>
      </w:pPr>
      <w:r>
        <w:rPr>
          <w:rStyle w:val="C13"/>
          <w:rtl w:val="0"/>
        </w:rPr>
        <w:t>h) Popsat a zdůvodnit kontrolu a přejímku oprav závlahových vodních děl a zařízení</w:t>
      </w:r>
    </w:p>
    <w:p>
      <w:pPr>
        <w:pStyle w:val="P30"/>
        <w:framePr w:w="3921" w:h="607" w:hRule="exact" w:wrap="none" w:vAnchor="page" w:hAnchor="margin" w:x="6800" w:y="9684"/>
        <w:rPr>
          <w:rStyle w:val="C3"/>
          <w:rtl w:val="0"/>
        </w:rPr>
      </w:pPr>
    </w:p>
    <w:p>
      <w:pPr>
        <w:pStyle w:val="P31"/>
        <w:framePr w:w="3839" w:h="480" w:hRule="exact" w:wrap="none" w:vAnchor="page" w:hAnchor="margin" w:x="6856" w:y="9740"/>
        <w:rPr>
          <w:rStyle w:val="C22"/>
          <w:rtl w:val="0"/>
        </w:rPr>
      </w:pPr>
      <w:r>
        <w:rPr>
          <w:rStyle w:val="C22"/>
          <w:rtl w:val="0"/>
        </w:rPr>
        <w:t>Ústní ověření</w:t>
      </w:r>
    </w:p>
    <w:p>
      <w:pPr>
        <w:pStyle w:val="P12"/>
        <w:framePr w:w="6710" w:h="607" w:hRule="exact" w:wrap="none" w:vAnchor="page" w:hAnchor="margin" w:x="45" w:y="10291"/>
        <w:rPr>
          <w:rStyle w:val="C3"/>
          <w:rtl w:val="0"/>
        </w:rPr>
      </w:pPr>
    </w:p>
    <w:p>
      <w:pPr>
        <w:pStyle w:val="P13"/>
        <w:framePr w:w="6658" w:h="480" w:hRule="exact" w:wrap="none" w:vAnchor="page" w:hAnchor="margin" w:x="71" w:y="10347"/>
        <w:rPr>
          <w:rStyle w:val="C11"/>
          <w:rtl w:val="0"/>
        </w:rPr>
      </w:pPr>
      <w:r>
        <w:rPr>
          <w:rStyle w:val="C11"/>
          <w:rtl w:val="0"/>
        </w:rPr>
        <w:t>i) Popsat činnosti při provádění technického dozoru stavebníka při výstavbě nebo rekonstrukci závlahových soustav</w:t>
      </w:r>
    </w:p>
    <w:p>
      <w:pPr>
        <w:pStyle w:val="P28"/>
        <w:framePr w:w="3921" w:h="607" w:hRule="exact" w:wrap="none" w:vAnchor="page" w:hAnchor="margin" w:x="6800" w:y="10291"/>
        <w:rPr>
          <w:rStyle w:val="C3"/>
          <w:rtl w:val="0"/>
        </w:rPr>
      </w:pPr>
    </w:p>
    <w:p>
      <w:pPr>
        <w:pStyle w:val="P29"/>
        <w:framePr w:w="3839" w:h="480" w:hRule="exact" w:wrap="none" w:vAnchor="page" w:hAnchor="margin" w:x="6856" w:y="10347"/>
        <w:rPr>
          <w:rStyle w:val="C21"/>
          <w:rtl w:val="0"/>
        </w:rPr>
      </w:pPr>
      <w:r>
        <w:rPr>
          <w:rStyle w:val="C21"/>
          <w:rtl w:val="0"/>
        </w:rPr>
        <w:t>Ústní ověření</w:t>
      </w:r>
    </w:p>
    <w:p>
      <w:pPr>
        <w:pStyle w:val="P16"/>
        <w:framePr w:w="6710" w:h="607" w:hRule="exact" w:wrap="none" w:vAnchor="page" w:hAnchor="margin" w:x="45" w:y="10898"/>
        <w:rPr>
          <w:rStyle w:val="C3"/>
          <w:rtl w:val="0"/>
        </w:rPr>
      </w:pPr>
    </w:p>
    <w:p>
      <w:pPr>
        <w:pStyle w:val="P17"/>
        <w:framePr w:w="6658" w:h="480" w:hRule="exact" w:wrap="none" w:vAnchor="page" w:hAnchor="margin" w:x="71" w:y="10954"/>
        <w:rPr>
          <w:rStyle w:val="C13"/>
          <w:rtl w:val="0"/>
        </w:rPr>
      </w:pPr>
      <w:r>
        <w:rPr>
          <w:rStyle w:val="C13"/>
          <w:rtl w:val="0"/>
        </w:rPr>
        <w:t>j) Zdůvodnit vedení dokumentace provozu a údržby závlahových systémů a zařízení včetně evidence množství odebrané vody</w:t>
      </w:r>
    </w:p>
    <w:p>
      <w:pPr>
        <w:pStyle w:val="P30"/>
        <w:framePr w:w="3921" w:h="607" w:hRule="exact" w:wrap="none" w:vAnchor="page" w:hAnchor="margin" w:x="6800" w:y="10898"/>
        <w:rPr>
          <w:rStyle w:val="C3"/>
          <w:rtl w:val="0"/>
        </w:rPr>
      </w:pPr>
    </w:p>
    <w:p>
      <w:pPr>
        <w:pStyle w:val="P31"/>
        <w:framePr w:w="3839" w:h="480" w:hRule="exact" w:wrap="none" w:vAnchor="page" w:hAnchor="margin" w:x="6856" w:y="10954"/>
        <w:rPr>
          <w:rStyle w:val="C22"/>
          <w:rtl w:val="0"/>
        </w:rPr>
      </w:pPr>
      <w:r>
        <w:rPr>
          <w:rStyle w:val="C22"/>
          <w:rtl w:val="0"/>
        </w:rPr>
        <w:t>Ústní ověření</w:t>
      </w:r>
    </w:p>
    <w:p>
      <w:pPr>
        <w:pStyle w:val="P12"/>
        <w:framePr w:w="6710" w:h="607" w:hRule="exact" w:wrap="none" w:vAnchor="page" w:hAnchor="margin" w:x="45" w:y="11505"/>
        <w:rPr>
          <w:rStyle w:val="C3"/>
          <w:rtl w:val="0"/>
        </w:rPr>
      </w:pPr>
    </w:p>
    <w:p>
      <w:pPr>
        <w:pStyle w:val="P13"/>
        <w:framePr w:w="6658" w:h="480" w:hRule="exact" w:wrap="none" w:vAnchor="page" w:hAnchor="margin" w:x="71" w:y="11561"/>
        <w:rPr>
          <w:rStyle w:val="C11"/>
          <w:rtl w:val="0"/>
        </w:rPr>
      </w:pPr>
      <w:r>
        <w:rPr>
          <w:rStyle w:val="C11"/>
          <w:rtl w:val="0"/>
        </w:rPr>
        <w:t>k) Popsat řešení problémů při vzniku poruch, havárií, povodní a dalších mimořádných událostí týkajících se závlahové soustavy</w:t>
      </w:r>
    </w:p>
    <w:p>
      <w:pPr>
        <w:pStyle w:val="P28"/>
        <w:framePr w:w="3921" w:h="607" w:hRule="exact" w:wrap="none" w:vAnchor="page" w:hAnchor="margin" w:x="6800" w:y="11505"/>
        <w:rPr>
          <w:rStyle w:val="C3"/>
          <w:rtl w:val="0"/>
        </w:rPr>
      </w:pPr>
    </w:p>
    <w:p>
      <w:pPr>
        <w:pStyle w:val="P29"/>
        <w:framePr w:w="3839" w:h="480" w:hRule="exact" w:wrap="none" w:vAnchor="page" w:hAnchor="margin" w:x="6856" w:y="11561"/>
        <w:rPr>
          <w:rStyle w:val="C21"/>
          <w:rtl w:val="0"/>
        </w:rPr>
      </w:pPr>
      <w:r>
        <w:rPr>
          <w:rStyle w:val="C21"/>
          <w:rtl w:val="0"/>
        </w:rPr>
        <w:t>Ústní ověření</w:t>
      </w:r>
    </w:p>
    <w:p>
      <w:pPr>
        <w:pStyle w:val="P16"/>
        <w:framePr w:w="6710" w:h="607" w:hRule="exact" w:wrap="none" w:vAnchor="page" w:hAnchor="margin" w:x="45" w:y="12112"/>
        <w:rPr>
          <w:rStyle w:val="C3"/>
          <w:rtl w:val="0"/>
        </w:rPr>
      </w:pPr>
    </w:p>
    <w:p>
      <w:pPr>
        <w:pStyle w:val="P17"/>
        <w:framePr w:w="6658" w:h="480" w:hRule="exact" w:wrap="none" w:vAnchor="page" w:hAnchor="margin" w:x="71" w:y="12168"/>
        <w:rPr>
          <w:rStyle w:val="C13"/>
          <w:rtl w:val="0"/>
        </w:rPr>
      </w:pPr>
      <w:r>
        <w:rPr>
          <w:rStyle w:val="C13"/>
          <w:rtl w:val="0"/>
        </w:rPr>
        <w:t>l) Popsat účel a náplň manipulačních a provozních řádů objektů závlahových staveb tlakových i gravitačních</w:t>
      </w:r>
    </w:p>
    <w:p>
      <w:pPr>
        <w:pStyle w:val="P30"/>
        <w:framePr w:w="3921" w:h="607" w:hRule="exact" w:wrap="none" w:vAnchor="page" w:hAnchor="margin" w:x="6800" w:y="12112"/>
        <w:rPr>
          <w:rStyle w:val="C3"/>
          <w:rtl w:val="0"/>
        </w:rPr>
      </w:pPr>
    </w:p>
    <w:p>
      <w:pPr>
        <w:pStyle w:val="P31"/>
        <w:framePr w:w="3839" w:h="480" w:hRule="exact" w:wrap="none" w:vAnchor="page" w:hAnchor="margin" w:x="6856" w:y="12168"/>
        <w:rPr>
          <w:rStyle w:val="C22"/>
          <w:rtl w:val="0"/>
        </w:rPr>
      </w:pPr>
      <w:r>
        <w:rPr>
          <w:rStyle w:val="C22"/>
          <w:rtl w:val="0"/>
        </w:rPr>
        <w:t>Ústní ověření</w:t>
      </w:r>
    </w:p>
    <w:p>
      <w:pPr>
        <w:pStyle w:val="P32"/>
        <w:framePr w:w="10710" w:h="248" w:hRule="exact" w:wrap="none" w:vAnchor="page" w:hAnchor="margin" w:x="28" w:y="128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věděl, co je náplní jednotlivých zákonů. Podrobně je třeba vysvětlit pouze to, co je přímo uvedeno v hodnoticím standardu. V rámci přípravy na zkoušku může uchazeč nahlédnout do příslušných zákonů, vyhlášek a norem.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připravené alespoň dvě varianty podkladů a příkladů pro přezkoušení, z nichž vybere jednu.</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k) zkouší autorizovaná osoba uchazeče prakticky s použitím projektové dokumentace závlahové stavby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a rekonstrukcí závlahových soustav</w:t>
      </w:r>
      <w:r>
        <w:rPr>
          <w:rFonts w:ascii="Arial" w:cs="Arial" w:hAnsi="Arial" w:eastAsia="Arial"/>
          <w:b w:val="0"/>
          <w:i w:val="0"/>
          <w:caps w:val="0"/>
          <w:strike w:val="0"/>
          <w:noProof w:val="0"/>
          <w:vanish w:val="0"/>
          <w:color w:val="auto"/>
          <w:sz w:val="20"/>
          <w:u w:val="none"/>
          <w:shd w:val="clear" w:color="auto" w:fill="auto"/>
          <w:vertAlign w:val="baseline"/>
          <w:lang/>
        </w:rPr>
        <w:t>, v kritériu d) zkouší autorizovaná osoba uchazeče prakticky s použitím "Projektové dokumentace" (PD).</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J</w:t>
      </w:r>
      <w:r>
        <w:rPr>
          <w:rFonts w:ascii="Arial" w:cs="Arial" w:hAnsi="Arial" w:eastAsia="Arial"/>
          <w:b w:val="0"/>
          <w:i w:val="1"/>
          <w:caps w:val="0"/>
          <w:strike w:val="0"/>
          <w:noProof w:val="0"/>
          <w:vanish w:val="0"/>
          <w:color w:val="auto"/>
          <w:sz w:val="20"/>
          <w:u w:val="none"/>
          <w:shd w:val="clear" w:color="auto" w:fill="auto"/>
          <w:vertAlign w:val="baseline"/>
          <w:lang/>
        </w:rPr>
        <w:t>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 zkouší autorizovaná osoba uchazeče prakticky s použitím "Územně plánovací dokumentace" (ÚPD). Kritérium e) - zkouší autorizovaná osoba uchazeče prakticky s použitím projektu "Komplexní pozemková úprava" (KPÚ).</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 kritérium d) AOs připravá zadání pro výpočet vláhové potřeby rostlin.</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a provozování na závlahových soustav</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a g) - zkouší autorizovaná osoba uchazeče prakticky s použitím "Projektové dokumentace" (PD), a přímo na vybraném zavlažovaném pozemku. </w:t>
      </w:r>
    </w:p>
    <w:p>
      <w:pPr>
        <w:pStyle w:val="P33"/>
        <w:framePr w:w="10766" w:h="1837" w:hRule="exact" w:wrap="none" w:vAnchor="page" w:hAnchor="margin" w:x="0" w:y="12699"/>
        <w:rPr>
          <w:rStyle w:val="C3"/>
          <w:rtl w:val="0"/>
        </w:rPr>
      </w:pPr>
    </w:p>
    <w:p>
      <w:pPr>
        <w:pStyle w:val="P35"/>
        <w:framePr w:w="10710" w:h="340" w:hRule="exact" w:wrap="none" w:vAnchor="page" w:hAnchor="margin" w:x="28" w:y="12699"/>
        <w:rPr>
          <w:rStyle w:val="C25"/>
          <w:rtl w:val="0"/>
        </w:rPr>
      </w:pPr>
      <w:r>
        <w:rPr>
          <w:rStyle w:val="C25"/>
          <w:rtl w:val="0"/>
        </w:rPr>
        <w:t>Výsledné hodnocení</w:t>
      </w:r>
    </w:p>
    <w:p>
      <w:pPr>
        <w:keepNext w:val="0"/>
        <w:keepLines w:val="0"/>
        <w:framePr w:w="10766" w:h="1497" w:hRule="exact" w:wrap="none" w:vAnchor="page" w:hAnchor="margin" w:x="0" w:y="13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3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48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36-156-M Technik závlahových soustav a střední vzdělání s maturitní zkouškou a alespoň 5 let odborné praxe v oblasti vodního hospodářství.</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1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1174"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 294/2005 Sb., o podmínkách ukládání odpadů na skládky a jejich využívání na povrchu terénu </w:t>
      </w:r>
    </w:p>
    <w:p>
      <w:pPr>
        <w:keepNext w:val="0"/>
        <w:keepLines w:val="1"/>
        <w:framePr w:w="10766" w:h="1117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závlahových systémů a zařízení</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závlahové soustavy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měrné křivky závlahových čerpadel </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závlahového množství a závlahové dávky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•prospekty</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w:t>
      </w:r>
    </w:p>
    <w:p>
      <w:pPr>
        <w:keepNext w:val="0"/>
        <w:keepLines w:val="1"/>
        <w:framePr w:w="10766" w:h="1117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přístup na závlahovou soustavu (nutné doložit smluvním vztahem mezi AOs a vlastníkem či uživatelem pozemků)</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117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5"/>
        <w:rPr>
          <w:rStyle w:val="C3"/>
          <w:rtl w:val="0"/>
        </w:rPr>
      </w:pPr>
    </w:p>
    <w:p>
      <w:pPr>
        <w:pStyle w:val="P35"/>
        <w:framePr w:w="10710" w:h="340" w:hRule="exact" w:wrap="none" w:vAnchor="page" w:hAnchor="margin" w:x="28" w:y="13895"/>
        <w:rPr>
          <w:rStyle w:val="C25"/>
          <w:rtl w:val="0"/>
        </w:rPr>
      </w:pPr>
      <w:r>
        <w:rPr>
          <w:rStyle w:val="C25"/>
          <w:rtl w:val="0"/>
        </w:rPr>
        <w:t>Doba přípravy na zkoušku</w:t>
      </w:r>
    </w:p>
    <w:p>
      <w:pPr>
        <w:keepNext w:val="0"/>
        <w:keepLines w:val="0"/>
        <w:framePr w:w="10766" w:h="806" w:hRule="exact" w:wrap="none" w:vAnchor="page" w:hAnchor="margin" w:x="0" w:y="14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závlahových soustav, 20.10.2026 11:55:19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5976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F8CA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F454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FC49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9A99C7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ABD686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