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76FE6" Type="http://schemas.openxmlformats.org/officeDocument/2006/relationships/officeDocument" Target="/word/document.xml" /><Relationship Id="coreR79B76FE6" Type="http://schemas.openxmlformats.org/package/2006/relationships/metadata/core-properties" Target="/docProps/core.xml" /><Relationship Id="customR79B76F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odvodňovacích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a rekonstrukcí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předvedení je třeba, aby autorizovaná osoba měla připraveny alespoň dvě varianty podkladů a příkladů pro přezkoušení.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h) zkouší autorizovaná osoba uchazeče s použitím "Územně plánovací dokumentace" (ÚPD), kritérium i) zkouší autorizovaná osoba uchazeče s použitím "Plánu společných zařízení".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d) a e) zkouší autorizovaná osoba uchazeče s použitím "Projektové dokumentace" (PD). V kritériu b) uchazeč načrtne objekt - návrh odvodnění na situaci 1:1000, zaústění drenáží do toku.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zkouší autorizovaná osoba uchazeče prakticky s použitím ÚPD, kritérium d) zkouší autorizovaná osoba uchazeče s použitím projektu "Komplexní pozemková úprava" (KPÚ).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organizace prací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 e) zkouší autorizovaná osoba uchazeče prakticky s použitím "Projektové dokumentace" (PD).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