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A7BB8" Type="http://schemas.openxmlformats.org/officeDocument/2006/relationships/officeDocument" Target="/word/document.xml" /><Relationship Id="coreR2DAA7BB8" Type="http://schemas.openxmlformats.org/package/2006/relationships/metadata/core-properties" Target="/docProps/core.xml" /><Relationship Id="customR2DAA7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konečného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dosavadních vlastních prací týkající se ověřované profesní kvalifikace (např. ukázkové video - showreel)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si uchazeč vybere jedno z následujících zadání předložených autorizovanou osobou: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 se zahradou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automobil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tohoto výběru je určit specializaci 3D grafika.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vybere zadání a zároveň bude ověřována kompetence č. 1 Orientace v technologických postupech digitální 3D produkce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až 5. den budou ověřovány všechny zbývající kompetence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zkouška se skládá z ústní a praktické části. Jejím cílem je prověřit znalosti, dovednosti a schopnosti uchazeče v pořadí dle kompetencí popsaných v části A. Zejména je nuné prověřit znalosti uchazeče v dodržování technických a výtvarných podmínek zadávací dokumentace.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tří zadání bude uchazeč vytvářet finální obraz umístěný na neutrálním bílém pozadí a rozsah zadání bude odpovídat času zkoušky. U kompetence č. 5 Výroba kompozice stačí jako výsledný výstup statický obrázek.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Kvůli časové náročnosti není třeba renderovat video. Výsledný obraz by neměl být hodnocen po umělecké stránce, ale pouze z pohledu splnění zadávací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vyšší odborná škola aplikované kybernetiky,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Red Riding Hood,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Richard, Homola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61F69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E0829DF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