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401A9" Type="http://schemas.openxmlformats.org/officeDocument/2006/relationships/officeDocument" Target="/word/document.xml" /><Relationship Id="coreR4CC401A9" Type="http://schemas.openxmlformats.org/package/2006/relationships/metadata/core-properties" Target="/docProps/core.xml" /><Relationship Id="customR4CC401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animovaného audiovizuálního díla (kód: 82-031-R)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využívaných při výrobě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výroby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výroby animovaného filmu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řízení výroby animovaného filmu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29.11.2016</w:t>
      </w:r>
    </w:p>
    <w:p>
      <w:pPr>
        <w:pStyle w:val="P21"/>
        <w:framePr w:w="7654" w:h="331" w:hRule="exact" w:wrap="none" w:vAnchor="page" w:hAnchor="margin" w:x="28" w:y="15940"/>
        <w:rPr>
          <w:rStyle w:val="C16"/>
          <w:rtl w:val="0"/>
        </w:rPr>
      </w:pPr>
      <w:r>
        <w:rPr>
          <w:rStyle w:val="C16"/>
          <w:rtl w:val="0"/>
        </w:rPr>
        <w:t>Produkční animovaného audiovizuálního díla, 20.8.2026 14:35:21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různých typů výroby animovaného filmu (loutka, ploška, 2D kreslená animace, 3D animace)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technologické postupy obrazové a zvukové postprodukce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právních předpisech využívaných při výrobě animovaného filmu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Orientovat se v oblasti autorského zákona (zákon č. 121/2000 Sb., v platném znění) ve vztahu k výrobě audiovizuálního díla (definice autorského díla, náležitosti licenční smlouvy, význam a působnost kolektivních správců práv)</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Ústní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Orientovat se v zákoníku práce (zákon č. 262/2006 Sb., v platném znění) zejména v části upravující pracovní poměr, pracovní dobu, bezpečnost a ochranu zdraví při práci, odměňování za práci</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Orientovat se v novém občanském zákoníku (zákon č. 89/2012 Sb., v platném znění) zejména v oblasti vztahující se k tvorbě díla (§ 2586–2635)</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d) Orientovat se v oblasti daně z přidané hodnoty a zdanění fyzických osob ve vztahu k autorské odměně</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Řízení výroby animovaného filmu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Navrhnout klíčové etapy a milníky projektu a plán způsobu jejich dosažení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Připravit časový harmonogram výroby projektu dle zadání v počítačovém tabulkovém procesoru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Navrhnout na základě stanovených cílů a rozsahu projektu typ a objem materiálových a pracovních (lidských) zdrojů potřebných ke splnění kreativních a technických požadavků projektu</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d) Připravit analýzu rizik projektu. Identifikovat rizika, pravděpodobnost vzniku a způsob jejich eliminace a řešení v případě, že nastanou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e) Navrhnout způsob monitorování aktivit, činností a vývoje projektu s cílem identifikovat odchylky od plánu z věcného, kvalitativního a časového hlediska</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f) Navrhnout způsob komunikace, odsouhlasení a zapracování změn projektu oproti původně schválenému plánu (zadání) se všemi relevantními osobami (klient, producent, režisér atd.)</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20.8.2026 14:35:21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výroby animovaného filmu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v počítačovém tabulkovém procesoru, a to včetně plánu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základních účetních dokladů (faktura přijatá od dodavatele, faktura vystavená,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Personální řízení výroby animovaného filmu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složení výrobního týmu projektu, včetně rozdělení úkolů a jednotlivých činností mezi jeho členy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pro příslušné profese smluvní podmínky (vybrat příslušný typ vhodné smlouvy)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způsob komunikace mezi jednotlivými členy výrobního týmu (telefonická, písemná, elektronická, osobní jednání)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20.8.2026 14:35:21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modelový projekt pro oveření kritérií dle tohoto standardu, a to v termínu nejpozději 15 pracovních dní před termínem zkoušky. Modelovým projektem se rozumí výroba animovaného filmu seriálového typu, který obsahuje základní informace: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•stopáž 7x10 min.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•počet figur</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•prostředí (počet scén)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pojetí formou reference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technologie animace</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řízení výroby animovaného filmu (s výjimkou kritéria hodnocení b) u kompetence Finanční řízení výroby animovaného filmu 4b)</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Zpracovaný projekt bude doručen na adresu autorizované osoby 1x v tištěné podobě a zároveň elektronicky. Při zkoušce probíhá prezentace zpracovaného projektu formou obhajoby.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pro kritéria kompetence Orientace v právních předpisech využívaných při výrobě animovaného filmu pro kritérium b) minimálně 20 otázek a pro kritérium c) a d) minimálně 10 otázek.</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Pravidla pro aplikaci ústního ověřování formou vylosováných otázek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podmínky:</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celkový soubor otázek: každé kritérium je zohledněno v několika otázkách</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každý uchazeč musí mít v souboru svých vylosovaných otázek zohledněno alespoň jednou každé kritérium (myslí se kritérium, u něhož jsou losované otázky způsobem ověření a v návaznosti na pokyn, která kritéria je třeba u zkoušky splnit)</w:t>
      </w:r>
    </w:p>
    <w:p>
      <w:pPr>
        <w:pStyle w:val="P33"/>
        <w:framePr w:w="10766" w:h="1837"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Výsledné hodnocení</w:t>
      </w:r>
    </w:p>
    <w:p>
      <w:pPr>
        <w:keepNext w:val="0"/>
        <w:keepLines w:val="0"/>
        <w:framePr w:w="10766" w:h="1497"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18"/>
        <w:rPr>
          <w:rStyle w:val="C3"/>
          <w:rtl w:val="0"/>
        </w:rPr>
      </w:pPr>
    </w:p>
    <w:p>
      <w:pPr>
        <w:pStyle w:val="P35"/>
        <w:framePr w:w="10710" w:h="340" w:hRule="exact" w:wrap="none" w:vAnchor="page" w:hAnchor="margin" w:x="28" w:y="14418"/>
        <w:rPr>
          <w:rStyle w:val="C25"/>
          <w:rtl w:val="0"/>
        </w:rPr>
      </w:pPr>
      <w:r>
        <w:rPr>
          <w:rStyle w:val="C25"/>
          <w:rtl w:val="0"/>
        </w:rPr>
        <w:t>Počet zkoušejících</w:t>
      </w:r>
    </w:p>
    <w:p>
      <w:pPr>
        <w:keepNext w:val="0"/>
        <w:keepLines w:val="0"/>
        <w:framePr w:w="10766" w:h="1036" w:hRule="exact" w:wrap="none" w:vAnchor="page" w:hAnchor="margin" w:x="0" w:y="14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Produkční animovaného audiovizuálního díla, 20.8.2026 14:35:21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multimediální tvorbu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ekonomickou oblast nebo produkci audiovizuálních děl a alespoň 5 let odborné praxe v řídicích pozicích v oblasti audiovizuální výroby, z toho minimálně jeden rok v období posledních dvou let před podáním žádosti o udělení autorizace.</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071" w:hRule="exact" w:wrap="none" w:vAnchor="page" w:hAnchor="margin" w:x="0" w:y="10315"/>
        <w:rPr>
          <w:rStyle w:val="C3"/>
          <w:rtl w:val="0"/>
        </w:rPr>
      </w:pPr>
    </w:p>
    <w:p>
      <w:pPr>
        <w:pStyle w:val="P35"/>
        <w:framePr w:w="10710" w:h="340" w:hRule="exact" w:wrap="none" w:vAnchor="page" w:hAnchor="margin" w:x="28" w:y="1031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účetních dokladů (faktura, dodací list, pokladní doklad)</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Doba přípravy na zkoušku</w:t>
      </w:r>
    </w:p>
    <w:p>
      <w:pPr>
        <w:keepNext w:val="0"/>
        <w:keepLines w:val="0"/>
        <w:framePr w:w="10766" w:h="1036"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Produkční animovaného audiovizuálního díla, 20.8.2026 14:35:21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Produkční animovaného audiovizuálního díla, 20.8.2026 14:35:21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Dagmar Juráková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animovaného audiovizuálního díla, 20.8.2026 14:35:21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41BF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D7AFB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5598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217B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9E435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