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EF6EB" Type="http://schemas.openxmlformats.org/officeDocument/2006/relationships/officeDocument" Target="/word/document.xml" /><Relationship Id="coreR362EF6EB" Type="http://schemas.openxmlformats.org/package/2006/relationships/metadata/core-properties" Target="/docProps/core.xml" /><Relationship Id="customR362EF6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 / chemická technička pro kompozitní materiály + střední vzdělání s maturitní zkouškou a alespoň 5 let odborné praxe v oblasti chemické výroby.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 / chemická technička pro kompozitní materiály, 30.9.2026 1:44:29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8C2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E96F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FDDC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DBED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