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9C510" Type="http://schemas.openxmlformats.org/officeDocument/2006/relationships/officeDocument" Target="/word/document.xml" /><Relationship Id="coreR4009C510" Type="http://schemas.openxmlformats.org/package/2006/relationships/metadata/core-properties" Target="/docProps/core.xml" /><Relationship Id="customR4009C5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 kompozitní materiály (kód: 28-085-M)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a technologiích výroby a zpracování kompozitních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normami a pracovními instrukcemi pro obsluhu a řízení chemických a technologických procesů výroby kompozitních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výrobě kompozitních materiálů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hodnot a parametrů při obsluze a řízení technologických procesů výroby kompozitních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a řízení technologických procesů výroby kompozitních materiálů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Analýza příčin odchylek ve výrobě kompozitních materiálů a navrhování opatření na jejich eliminaci či odstranění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Řízení jednoduchých nebo opakujících se technologických procesů a pracovních postupů ve výrobě kompozitních materiálů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kompozitní materiály,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chemicko-technologických procesů výroby kompozitů v konkrétní firmě, interpretaci údajů v nich uvedených, přípravu vstupů a manipulaci s kompozitními materiály.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konkerétní zadání zkoušky s ukázkou provozně-technické dokumentace (bezpečnostní listy, pracovní instrukce, provozní předpisy, formuláře). Součástí zadání je i příslušné laboratorní vybavení, chemické látky vč. bezpečnostních listů a zařízení pro realizaci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a) v odborné kompetenci Orientace v druzích a technologiích výroby a zpracování kompozitních materiálů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kompozitní materiály,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Synpo, a 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kompozitní materiály, 22.10.2026 10:16:51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