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5BE21" Type="http://schemas.openxmlformats.org/officeDocument/2006/relationships/officeDocument" Target="/word/document.xml" /><Relationship Id="coreR7415BE21" Type="http://schemas.openxmlformats.org/package/2006/relationships/metadata/core-properties" Target="/docProps/core.xml" /><Relationship Id="customR7415BE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technik/chemická technička pro kompozitní materiály (kód: 28-085-M)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kompozitní materiály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a technologiích výroby a zpracování kompozitních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Práce s  normami, technologickými kartami a pracovními instrukcemi pro obsluhu a řízení chemických a technologických procesů výroby kompozitních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výrobě kompozitních materiálů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základních hodnot a parametrů při obsluze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výroby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Analýza příčin odchylek ve výrobě kompozitních materiálů a navrhování opatření na jejich eliminaci či odstranění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Řízení jednoduchých nebo opakujících se technologických procesů a pracovních postupů ve výrobě kompozitních materiálů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technik/chemická technička pro kompozitní materiály,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https://nsp.cz/jednotka-prace/chemicky-technik-pro-komp#zdravotni-zpusobilost).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chemicko-technologických procesů výroby kompozitů v konkrétní firmě, interpretaci údajů v nich uvedených, přípravu vstupů a manipulaci s kompozitními materiály.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předpisy, formuláře). Součástí zadání je i příslušné laboratorní vybavení, chemické látky vč. bezpečnostních listů a zařízení pro realizaci zkoušky.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technik/chemická technička pro kompozitní materiály,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technik/chemická technička pro kompozitní materiály,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