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8F0FB" Type="http://schemas.openxmlformats.org/officeDocument/2006/relationships/officeDocument" Target="/word/document.xml" /><Relationship Id="coreR7188F0FB" Type="http://schemas.openxmlformats.org/package/2006/relationships/metadata/core-properties" Target="/docProps/core.xml" /><Relationship Id="customR7188F0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okopanin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podniku. Podklady pro ověřování jednotlivých kompetencí budou brány z konkrétního podniku nebo vytvořeny pro vzorový podnik.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pěstování následujících druhů okopanin: brambory, cukrovka, krmná řepa.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Charakteristika okopanin a jejich nároky na půdní a povětrnostní podmínky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ověřována i u dalších druhů okopanin: čekanka obecná, krmná mrkev, tuřín, vodnice a topinambur. Kritérium b) u této kompetence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ověřeno u jedné z okopanin v porostu a u dalších 5 na vzorcích nebo fotografiích (semena, hlízy, rostliny).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bude k dispozici Rámcová metodika výživy rostlin a hnojení.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bude k dispozici seznam registrovaných přípravků a dalších prostředků na ochranu rostlin, platný pro aktuální rok. Pro účely zkoušky je třeba zajistit minimálně 5 vzorků plevelů v různých růstových stádiích, 2 vzorky rostlin napadených chorobami a 1 vzorek napadený škůdci. Zkouška proběhne na zadaném pozemku s jednou z výše uvedených plodin.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