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39B1F" Type="http://schemas.openxmlformats.org/officeDocument/2006/relationships/officeDocument" Target="/word/document.xml" /><Relationship Id="coreR20739B1F" Type="http://schemas.openxmlformats.org/package/2006/relationships/metadata/core-properties" Target="/docProps/core.xml" /><Relationship Id="customR20739B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okopanin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závodu. Podklady pro ověřování jednotlivých kompetencí budou vycházet z podmínek konkrétního zemědělského závodu.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pěstování následujících druhů okopanin: brambory, řepa cukrová, krmná řepa.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okopanin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bude uchazeč určovat minimálně 2 vzorky semen okopanin a minimálně 3 vzorky rostlin okopanin.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seznam registrovaných přípravků a dalších prostředků na ochranu rostlin, platný pro aktuální rok. Uchazeč bude určovat plevele, choroby a škůdce: minimálně 5 vzorků plevelů v různých vývojových stádiích, 2 vzorky rostlin napadených chorobami a 2 vzorky napadené škůdci. U kritéria b) bude zadávání pokynu k provedení konkrétního zásahu v porostu v podobě modelové situace.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okopanin, Návrh technologického postupu pěstování okopanin, Vedení provozní dokumentace v rostlinné výrobě, Zjišťování ekonomických ukazatelů pěstování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zadaném pozemku s jednou z výše uvedených plodin.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