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BAADCF" Type="http://schemas.openxmlformats.org/officeDocument/2006/relationships/officeDocument" Target="/word/document.xml" /><Relationship Id="coreRDBAADCF" Type="http://schemas.openxmlformats.org/package/2006/relationships/metadata/core-properties" Target="/docProps/core.xml" /><Relationship Id="customRDBAAD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okopanin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okopanin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okopanin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okopaninách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okopanin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okopanin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20.9.2026 7:48:11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okopanin v zemědělském závodu. Podklady pro ověřování jednotlivých kompetencí budou vycházet z podmínek konkrétního zemědělského závodu.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pěstování následujících druhů okopanin: brambory, řepa cukrová, krmná řepa.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okopanin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bude uchazeč určovat minimálně 2 vzorky semen okopanin a minimálně 3 vzorky rostlin okopanin.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okopaninách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seznam registrovaných přípravků a dalších prostředků na ochranu rostlin, platný pro aktuální rok. Uchazeč bude určovat plevele, choroby a škůdce: minimálně 5 vzorků plevelů v různých vývojových stádiích, 2 vzorky rostlin napadených chorobami a 2 vzorky napadené škůdci. U kritéria b) bude zadávání pokynu k provedení konkrétního zásahu v porostu v podobě modelové situace.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okopanin, Návrh technologického postupu pěstování okopanin, Vedení provozní dokumentace v rostlinné výrobě, Zjišťování ekonomických ukazatelů pěstování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zadaném pozemku s jednou z výše uvedených plodin.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agrotechnické lhůty se zkouška koná ve druhém nebo třetím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20.9.2026 7:48:11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20.9.2026 7:48:11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