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BC0A0" Type="http://schemas.openxmlformats.org/officeDocument/2006/relationships/officeDocument" Target="/word/document.xml" /><Relationship Id="coreR6CBBC0A0" Type="http://schemas.openxmlformats.org/package/2006/relationships/metadata/core-properties" Target="/docProps/core.xml" /><Relationship Id="customR6CBBC0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pícnin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20.10.2026 12:05:50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podniku. Podklady pro ověřování jednotlivých kompetencí budou brány z konkrétního podniku.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 kritériu a) vyjmenovávat a charakterizovat jednoleté a víceleté pícniny (jeteloviny a trávy). Kritérium b) bude ověřeno s využitím fotografií a v porostu.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bude k prověření kritérií c) a d) k dispozici Seznam registrovaných přípravků a dalších prostředků na ochranu rostlin, platný pro aktuální rok.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20.10.2026 12:05:50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20.10.2026 12:05:50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