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9057D" Type="http://schemas.openxmlformats.org/officeDocument/2006/relationships/officeDocument" Target="/word/document.xml" /><Relationship Id="coreR3929057D" Type="http://schemas.openxmlformats.org/package/2006/relationships/metadata/core-properties" Target="/docProps/core.xml" /><Relationship Id="customR392905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při vstupu do chovu splňovat požadavky veterinárních předpisů (zákon č. 166/1999 Sb. a vyhláška č. 342/2012 Sb.) a obecně platných pravidel zoohygieny.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30.9.2026 5:58:11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B03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625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