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ADF398" Type="http://schemas.openxmlformats.org/officeDocument/2006/relationships/officeDocument" Target="/word/document.xml" /><Relationship Id="coreR75ADF398" Type="http://schemas.openxmlformats.org/package/2006/relationships/metadata/core-properties" Target="/docProps/core.xml" /><Relationship Id="customR75ADF3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 pro chov ovcí a koz (kód: 41-109-M)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ovcí a koz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ovcí a koz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užitkových vlastností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péče o zdraví ovcí a koz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ovcí a koz, 30.9.2026 3:41:27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vstupu do chovu musí uchazeč splňovat požadavky veterinárních předpisů. Při vstupu do potravinářských provozů musí uchazeč předložit platný Zdravotní průkaz pracovníka v potravinářství.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chovu ovcí a koz. Pro ověření znalostí a dovedností uchazeče budou kompetence ověřovány nejen v učebně, ale také přímo v zemědělském podniku zaměřeném na chov ovcí nebo koz.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pohody zvířat.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"Charakteristika chovu ovcí a koz v ČR" budou k dispozici fotografie současných plemen ovcí a koz (v počtu minimálně 15 ks).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"Aplikace platné legislativy v chovu ovcí a koz" bude k dispozici počítač s připojením na internet.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ovcí a koz, 30.9.2026 3:41:27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ovcí a koz, 30.9.2026 3:41:27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