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54A50" Type="http://schemas.openxmlformats.org/officeDocument/2006/relationships/officeDocument" Target="/word/document.xml" /><Relationship Id="coreR67454A50" Type="http://schemas.openxmlformats.org/package/2006/relationships/metadata/core-properties" Target="/docProps/core.xml" /><Relationship Id="customR67454A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a řízení technologických procesů v ovocném školkařství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dobývání a expedice školkařského materiálu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fytopatologických opatření ve školce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Aplikace legislativy při řízení školkařského provozu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30.9.2026 2:49:05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vhodné,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minimálně u 10 ks. V kritériu e) uchazeč prakticky předvede řez na očko, řez na čípek a ošetří obrost vždy minimálně u 5 výpěstků. 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kompetencí pro uznání profesní kvalifikace je značně rozsáhlý a kromě základních praktických dovedností předpokládá zejména kompletní zvládnutí všech řídicích úkonů ve školkařské výrobě, včetně praktických výpočtů a splnění zákonné administrativy. Při ověřování kompetencí formou praktického předvedení je třeba přihlížet především k bezpečnému provádění všech úkonů, ke kvalitě výsledné práce i k časovému hledisku zvládání jednotlivých operací. Zkouška bude rozdělena do dvou nebo třech termínů v rozdílných ročních dobách. Některé praktické činnosti budou provedeny modelově na rostlinném materiálu upraveném pro potřeby zkoušky tak, aby bylo možné v optimálně dvou (nebo třech) zvolených termínech zkoušku kompletně uskutečnit. 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30.9.2026 2:49:05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Bílovec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Okrasné školky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30.9.2026 2:49:05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