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55EDCB" Type="http://schemas.openxmlformats.org/officeDocument/2006/relationships/officeDocument" Target="/word/document.xml" /><Relationship Id="coreR3355EDCB" Type="http://schemas.openxmlformats.org/package/2006/relationships/metadata/core-properties" Target="/docProps/core.xml" /><Relationship Id="customR3355ED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Sestavování strojních souprav pro rostlinnou výrobu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dokumentace o provozu zemědělské techniky v rostlinné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oprav a údržby, sledování spolehlivosti strojů a obnova strojního vybavení v rostlinné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30.9.2026 1:58:24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v kritériu a) uchazeč bude pracovat s katalogem náhradních dílů určeného stroje rostlinné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jednotlivých kompetencí byly stanoveny tyto skupiny základních plodin: obiloviny, olejniny, okopaniny a pícniny.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činností. Základem jsou činnosti týkající se návrhů na sestavení strojních souprav, odborného vedení pracovníků a zajišťování údržby, oprav a obnovy strojního vybavení na úseku rostlinné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zvládání operací a k časovému hledisku zvládnutí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30.9.2026 1:58:24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zemědělská škola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České republiky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30.9.2026 1:58:24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