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3B533" Type="http://schemas.openxmlformats.org/officeDocument/2006/relationships/officeDocument" Target="/word/document.xml" /><Relationship Id="coreR5F83B533" Type="http://schemas.openxmlformats.org/package/2006/relationships/metadata/core-properties" Target="/docProps/core.xml" /><Relationship Id="customR5F83B5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(https://nsp.cz/jednotka-prace/zemedelsky-mechanizator#zdravotni-zpusobilost).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živočišné výroby.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zvířat, a to skotu, prasat a drůbeže. Přitom je nutno posuzovat nejen dosažený výsledek, ale i samostatnost při rozhodování o nejvhodnějším postupu řešení zadaného úkolu podle daných podmínek pracoviště, ve kterém probíhá zkouška.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technologií v živočišné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konkrétními podmínkami myslí podmínky zemědělského provozu, ve kterém probíhá zkouška. V kritériích a), b) a i) bude uchazeč navrhovat technologie pro modelové (fiktivní) provozy chovu zvířat.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živočišnou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kritérií b), c), f) dostane uchazeč modelový popis konkrétních podmínek pracoviště korespondující s podmínkami provozu, ve kterém bude probíhat zkouška (vybavení pracoviště, údaje o modelových pracovnících, rozsah požadovaných prací).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