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32475" Type="http://schemas.openxmlformats.org/officeDocument/2006/relationships/officeDocument" Target="/word/document.xml" /><Relationship Id="coreR6DA32475" Type="http://schemas.openxmlformats.org/package/2006/relationships/metadata/core-properties" Target="/docProps/core.xml" /><Relationship Id="customR6DA324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pro živočišnou výrobu (kód: 41-099-M)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technologií v živočišné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dokumentace o provozu zemědělské techniky v živočišné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péče o techniku v živočišné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řidičské oprávnění skupiny T.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 v kritériu a) uchazeč bude pracovat s katalogem náhradních dílů určeného stroje živočišné výroby.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zajištění správného chodu jednotlivých technologií chovu hospodářských zvířat.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provedení je třeba přihlížet především k bezpečnému provádění všech úkonů, ke kvalitě zvládání operací a případně i k časovému hledisku.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třeba dbát na respektování příslušných právních předpisů vztahujících se k chovu jednotlivých druhů a kategorií hospodářských zvířat, zejména k požadavkům na pohodu zvířat (welfare) a ustanovení zákona na ochranu zvířat proti týrání č. 246/1992 Sb., a souvisejících vyhlášek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zemědělská škola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pro živočišnou výrobu, 7.7.2026 15:07:54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