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6713A5" Type="http://schemas.openxmlformats.org/officeDocument/2006/relationships/officeDocument" Target="/word/document.xml" /><Relationship Id="coreR3E6713A5" Type="http://schemas.openxmlformats.org/package/2006/relationships/metadata/core-properties" Target="/docProps/core.xml" /><Relationship Id="customR3E671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Míchání substrátů pro množení rostlin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ad a) je nezbytné uvést a vysvětlit rozdíly u odrůd nehybridních, hybridních a udržovaných vegetativně, u kritéria ad d) je třeba zadat nejen běžně známý rod nebo druh, ale také dbát na jeho běžné využívání v zahradnické praxi a současně výběr podřídit dostatku všeobecného povědomí o jeho rozmanitosti růstu, citlivosti vůči patogenům a podobně. V kritériu ad f) se v souvislosti s platnou legislativou jedná o držitele šlechtitelských práv, kteří mají výlučné právo k využívání odrůd s udělenou právní ochranou podle zákona č. 408/2000 Sb., o ochraně práv k odrůdám rostlin, ve znění pozdějších předpisů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udržovacího šlechtění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modelovou kulturou v kritériu ad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možno provádět některé z úkonů, které zkoušející plánuje při zkoušce zadat. Obdobně je třeba postupovat v kritériu ad c), kde lze také modelově použít jakýkoliv druhově jednotný porost s dostatečnou variabilitou (samozřejmě ve vazbě na konkrétní materiál),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zhruba 200 x 150 mm. U běžného osiva bude vyset platonek s rozměry zhruba 400 x 300 mm, při výsevu do řádku vyseje zhruba 5 běžných metrů. Při plošném výsevu pak bude volena plocha v závislosti na pěstovaném druhu a technologii pěstování od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 50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substrátů pro množení rostlin a jejich použití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zkoušející nejprve zadá kulturu, pro kterou bude substrát připravován, poté dojde k výběru konkrétního způsobu množení a teprve potom ke specifikaci a výběru komponentů. Pro výběr připraví zkoušející alespoň 15 různých vhodných i nevhodných komponentů, ze kterých bude zkoušený vybírat ty vhodné a následně navrhovat jejich poměr k namíchání substrátu.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Sempra Praha,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v Lednici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