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47AB3" Type="http://schemas.openxmlformats.org/officeDocument/2006/relationships/officeDocument" Target="/word/document.xml" /><Relationship Id="coreR16347AB3" Type="http://schemas.openxmlformats.org/package/2006/relationships/metadata/core-properties" Target="/docProps/core.xml" /><Relationship Id="customR16347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vhodného substrátu a hnojiv pro zahradnické provozy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půdotvorný proces</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význam, složení substrátů a vznik jejich komponent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Popsat fyzikální vlastnosti substrátů a prakticky vyhodnotit některé z nich podle konkrétního zadání</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Používání komponentů pro přípravu substrátů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831" w:hRule="exact" w:wrap="none" w:vAnchor="page" w:hAnchor="margin" w:x="45" w:y="12075"/>
        <w:rPr>
          <w:rStyle w:val="C3"/>
          <w:rtl w:val="0"/>
        </w:rPr>
      </w:pPr>
    </w:p>
    <w:p>
      <w:pPr>
        <w:pStyle w:val="P13"/>
        <w:framePr w:w="6658" w:h="704" w:hRule="exact" w:wrap="none" w:vAnchor="page" w:hAnchor="margin" w:x="71" w:y="1213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2075"/>
        <w:rPr>
          <w:rStyle w:val="C3"/>
          <w:rtl w:val="0"/>
        </w:rPr>
      </w:pPr>
    </w:p>
    <w:p>
      <w:pPr>
        <w:pStyle w:val="P29"/>
        <w:framePr w:w="3839" w:h="704"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 a ústní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limity, zásady i výhody míchání hnojiv a zdůvodnit, proč některá míchat nelze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nejpoužívanější technologie hnojení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Přiřadit vzorky hnojiv ke správným názvům na základě provedení jednoduchých testů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Vysvětlit zásady správné aplikace a skladování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Vypočítat množství hnojiv k přípravě 50 l zásobního roztoku pro přihnojování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Navrhnout plán hnojení zadané krátkodobé kultury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Navrhnout plán hnojení zadané víceleté kultury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Navrhnout a připravit minimálně 50 l roztoku pro hydroponické pěstování zadané kultury</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Příprava substrátu pro zahradnické výpěstky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Navrhnout potřebné technologické vybavení pro přípravu substrátu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Navrhování vhodného substrátu a hnojiv pro zahradnické provozy</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Zpracovat návrh použití substrátu a hnojiv u třech rozdílných rostlinných druhů s odlišnou technologií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548"/>
        <w:rPr>
          <w:rStyle w:val="C23"/>
          <w:rtl w:val="0"/>
        </w:rPr>
      </w:pPr>
      <w:r>
        <w:rPr>
          <w:rStyle w:val="C23"/>
          <w:rtl w:val="0"/>
        </w:rPr>
        <w:t>Toto kritérium je třeba splnit.</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27" w:hRule="exact" w:wrap="none" w:vAnchor="page" w:hAnchor="margin" w:x="28" w:y="8308"/>
        <w:rPr>
          <w:rStyle w:val="C23"/>
          <w:rtl w:val="0"/>
        </w:rPr>
      </w:pP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a případně i k časovému hledisku zvládání jednotlivých operací.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Zjišťování vlastností substrátů</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v kritériu a) zadat alespoň tři z následujících charakteristik: velikostní frakce, objemová hmotnost, konduktometrické stanovení elektrické vodivosti ve výluhu, pórovitost, vodní a vzdušná kapacita a v kritériu c) se stanoví obsah klíčivých semen a k vegetačnímu pokusu se nabízí například řeřichový test ke stanovení inhibičních látek v substrátu.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hnojiv v zahradnické praxi </w:t>
      </w:r>
      <w:r>
        <w:rPr>
          <w:rFonts w:ascii="Arial" w:cs="Arial" w:hAnsi="Arial" w:eastAsia="Arial"/>
          <w:b w:val="0"/>
          <w:i w:val="0"/>
          <w:caps w:val="0"/>
          <w:strike w:val="0"/>
          <w:noProof w:val="0"/>
          <w:vanish w:val="0"/>
          <w:color w:val="auto"/>
          <w:sz w:val="20"/>
          <w:u w:val="none"/>
          <w:shd w:val="clear" w:color="auto" w:fill="auto"/>
          <w:vertAlign w:val="baseline"/>
          <w:lang/>
        </w:rPr>
        <w:t>se v kritériu d) vybere tři až pět vzorků charakterem i složením rozdílných hnojiv a uchazeči se sdělí, která hnojiva se v předložených vzorcích nacházejí. Úkolem uchazeče je přiřadit známé názvy k testovaným vzorkům. Jednoduchým testem se rozumí například rozpustnost ve vodě, reakce s kyselinou octovou a podobné zkoušky, k nimž budou uchazeči předloženy potřebné látky i pomůcky k testování.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substrátu pro zahradnické výpěstky v kritériu </w:t>
      </w:r>
      <w:r>
        <w:rPr>
          <w:rFonts w:ascii="Arial" w:cs="Arial" w:hAnsi="Arial" w:eastAsia="Arial"/>
          <w:b w:val="0"/>
          <w:i w:val="0"/>
          <w:caps w:val="0"/>
          <w:strike w:val="0"/>
          <w:noProof w:val="0"/>
          <w:vanish w:val="0"/>
          <w:color w:val="auto"/>
          <w:sz w:val="20"/>
          <w:u w:val="none"/>
          <w:shd w:val="clear" w:color="auto" w:fill="auto"/>
          <w:vertAlign w:val="baseline"/>
          <w:lang/>
        </w:rPr>
        <w:t>b) uchazeč nebude mít k dispozici speciální mechanizaci určenou k míchaní substrátů.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516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 motorové dopravní prostředky vhodné pro převoz substrátu</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vybavená technickými pomůckami a chemickými látkami potřebnými ke splnění všech kritérií: pH metr, konduktometr, titrační souprava a běžné laboratorní sklo, profesionální laboratorní kufřík</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komponentů do substrátů a hnojiv - dostatek minerálních komponentů, kde alespoň ve vzorcích nesmí chybět jíl, zeolity, bentonit, dále organické látky zastoupené minimálně dvěma typy rašeliny a dvěma typy k rašelině alternativních komponentů, jako například kůrový nebo zahradní kompost, kokosové vlákno a podobně</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•Průmyslově vyráběné komponenty budou minimálně ve vzorcích zastoupené alespoň ve skupině pěnoplastů a žíhaných zemitých materiálů jako je například perlit. Průmyslová hnojiva budou zastoupena alespoň po jednom jednosložkovém hnojivu z každé ze čtyř nejvýznamnějších skupin</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předpoklady pro plnění požadavků BOZP - nutný je zejména respirátor proti prachu a pro ochranu očí obličejový štít nebo brýle</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2.10.2026 3:51:07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89C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22EC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996B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