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AD91D" Type="http://schemas.openxmlformats.org/officeDocument/2006/relationships/officeDocument" Target="/word/document.xml" /><Relationship Id="coreRCEAD91D" Type="http://schemas.openxmlformats.org/package/2006/relationships/metadata/core-properties" Target="/docProps/core.xml" /><Relationship Id="customRCEAD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vhodného substrátu a hnojiv pro zahradnické provozy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a případně i k časovému hledisku zvládání jednotlivých operací.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vlastností substrátů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v kritériu a) zadat alespoň tři z následujících charakteristik: velikostní frakce, objemová hmotnost, konduktometrické stanovení elektrické vodivosti ve výluhu, pórovitost, vodní a vzdušná kapacita a v kritériu c) se stanoví obsah klíčivých semen a k vegetačnímu pokusu se nabízí například řeřichový test ke stanovení inhibičních látek v substrátu.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hnojiv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v kritériu d) vybere tři až pět vzorků charakterem i složením rozdílných hnojiv a uchazeči se sdělí, která hnojiva se v předložených vzorcích nacházejí. Úkolem uchazeče je přiřadit známé názvy k testovaným vzorkům. Jednoduchým testem se rozumí například rozpustnost ve vodě, reakce s kyselinou octovou a podobné zkoušky, k nimž budou uchazeči předloženy potřebné látky i pomůcky k testování.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substrátu pro zahradnické výpěstky v kritériu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nebude mít k dispozici speciální mechanizaci určenou k míchaní substrátů.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