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CD413" Type="http://schemas.openxmlformats.org/officeDocument/2006/relationships/officeDocument" Target="/word/document.xml" /><Relationship Id="coreR31ECD413" Type="http://schemas.openxmlformats.org/package/2006/relationships/metadata/core-properties" Target="/docProps/core.xml" /><Relationship Id="customR31ECD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Zjišťování vlastností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stanovení pH probíhat na laboratorním pHmetru, v kritériu c) se stanoví obsah klíčivých semen a k vegetačnímu pokusu se nabízí například řeřichový test ke stanovení inhibičních látek v substrátu. Založení pokusu spočívá v ověření vlastností substrátů s předpokládanými supresivními vlastnostmi ve vztahu ke klíčícím rostlinám. Ověření bude provedeno srovnáním s kontrolním vzorkem.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Používání hnojiv v zahradnické praxi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b) vybere zkoušející tři až pět vzorků charakterem i složením rozdílných hnojiv a uchazeči sdělí, která hnojiva se v předložených vzorcích nacházejí. Úkolem uchazeče je přiřadit známé názvy k testovaným vzorkům. U kritéria d) se za krátkodobou kulturu považují rostliny ze sféry květinářské nebo zelinářské produkce, jejichž "výroba" probíhá v řádu nejvýše měsíců. U kritéria f) bude uchazeč pracovat jen s přípravky běžně dostupnými pro malospotřebitele, protože v případě zkoušky není toto použití pokládané za „komerční profesní užití chemických látek “. Zkoušející také může modelově využít jen ve vodě rozpustné látky, které nepodléhají kontrolám a regulacím například potravinářskou barvu, manganistan draselný a podobně. Smyslem ověřování kritéria je zjistit a prokázat schopnost uchazeče stanovit správnou koncentraci a namíchání roztoku.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substrátu pro zahradnické výpěstky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uchazeč nebude mít k dispozici speciální mechanizaci určenou k míchaní substrátů, uchazeč připraví substrát s pomocí ručního nářadí.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a případně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přípravu substrátů a hnojení, 2.10.2026 4:31:26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