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C34219" Type="http://schemas.openxmlformats.org/officeDocument/2006/relationships/officeDocument" Target="/word/document.xml" /><Relationship Id="coreRFC34219" Type="http://schemas.openxmlformats.org/package/2006/relationships/metadata/core-properties" Target="/docProps/core.xml" /><Relationship Id="customRFC342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textilií na digitálních tiskacích strojích (kód: 31-058-H)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a barev na digitálních tiskacích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digitální tisk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pro fixaci tisku po digitálním tisku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Tiskař textilií na digitálních tiskacích strojích, 28.9.2026 13:55:54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57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potisknout textilii na digitálním tiskacím stroji.</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kterém s ohledem na charakter výroby jde o velké finanční hodnoty zpracovávaných materiálů, strojů a o kvalitu vyrobeného produktu. Aby se zamezilo finančním ztrátám, je žádoucí, aby uchazeč u každé prověřované odborné způsobilosti vykonával prakticky ty operace nebo pracovní úkony, viz kritéria hodnocení,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nebo úkony operací vykonává paralelně nebo ve spolupráci s řádnou obsluhou strojů a zařízení.</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odborným kompetencím, zkoušející bude sledovat plnění úkolu. Vzhledem k charakteru výroby je při ověřování kritérií založených na formě praktického předvedení třeba přihlížet především k bezpečnému provádění všech úkonů a ke kvalitě zhotoveného výrobku.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21"/>
        <w:framePr w:w="7654" w:h="331" w:hRule="exact" w:wrap="none" w:vAnchor="page" w:hAnchor="margin" w:x="28" w:y="15940"/>
        <w:rPr>
          <w:rStyle w:val="C16"/>
          <w:rtl w:val="0"/>
        </w:rPr>
      </w:pPr>
      <w:r>
        <w:rPr>
          <w:rStyle w:val="C16"/>
          <w:rtl w:val="0"/>
        </w:rPr>
        <w:t>Tiskař textilií na digitálních tiskacích strojích, 28.9.2026 13:55:54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MARTILA, s. r. o., Liberec</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SPŠT Liberec</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textilií na digitálních tiskacích strojích, 28.9.2026 13:55:54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