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54CBCB" Type="http://schemas.openxmlformats.org/officeDocument/2006/relationships/officeDocument" Target="/word/document.xml" /><Relationship Id="coreR4954CBCB" Type="http://schemas.openxmlformats.org/package/2006/relationships/metadata/core-properties" Target="/docProps/core.xml" /><Relationship Id="customR4954CB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29.11.2016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http://katalog.nsp.cz/karta_p.aspx?id_jp=6141&amp;kod_sm1=26).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Monitorování kvality vody v průběhu intenzivního chovu ryb a provádění opatření k docílení optimalizace chovného prostředí"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"Monitorování kvality vody v průběhu intenzivního chovu ryb a provádění opatření k docílení optimalizace chovného prostředí"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 nebo zda půjde o napadení plísněmi, endoparazity nebo ektoparazity.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"Charakteristika finalizace produkce tržních ryb a jejich distribuce odběratelům"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 (Vodňany)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OSVČ v rybářství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pro intenzivní chov ryb,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