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CC3207" Type="http://schemas.openxmlformats.org/officeDocument/2006/relationships/officeDocument" Target="/word/document.xml" /><Relationship Id="coreR7CCC3207" Type="http://schemas.openxmlformats.org/package/2006/relationships/metadata/core-properties" Target="/docProps/core.xml" /><Relationship Id="customR7CCC32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/ rybářská technička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druhů ryb vhodných pro intenzivní chovy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reprodukce generačních ryb a získávání váčkového plůdku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chovu ryb v intenzivních chovech od plůdku až po tržní ryby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ryb v podmínkách intenzivních chovů s kontrolovanými podmínkami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kvality vody v průběhu intenzivního chovu ryb a provádění opatření k docílení optimalizace chovného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zoohygienických zásahů a preventivních opatření v intenzivních chovech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finalizace produkce tržních ryb a jejich distribuce odběratelům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20.10.2026 11:00:11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"https://nsp.cz/jednotka-prace/rybarsky-technik"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https://nsp.cz/jednotka-prace/rybarsky-technik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technologických postupů při chovu ryb v intenzivních chovech, a to jak ve faremních chovech lososovitých ryb, tak v recirkulačních zařízeních s kontrolovanými podmínkami chovného prostředí. Je posuzována samostatnost uchazeče, zejména při praktickém ověřování odborné způsobilosti.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 a nakládání s vodami.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a), b) a c) zadá zkoušející 3 druhy z uvedených: 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bude provedeno mechanické odstranění kalu a nárostů ze stěn odchovné nádrže, dezinfekce Savem, vápenným mlékem nebo jiným obdobným prostředkem.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Navrhování zoohygienických zásahů a preventivních opatření v intenzivních chovech ryb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zkoušející provádět posouzení zdravotního stavu živé ryby a následně provádět pitvu ryby, a to jednoho kusu z druhů chovaných v intenzivní akvakultuře.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bude zkoušejícím při zadání upřesněno, zda se jedná o onemocnění virového nebo bakteriálního původu, nebo zda půjde o napadení plísněmi, endoparazity nebo ektoparazity.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finalizace produkce tržních ryb a jejich distribuce odběratelům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3 druhy z uvedených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20.10.2026 11:00:11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20.10.2026 11:00:11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