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4EC10" Type="http://schemas.openxmlformats.org/officeDocument/2006/relationships/officeDocument" Target="/word/document.xml" /><Relationship Id="coreR3914EC10" Type="http://schemas.openxmlformats.org/package/2006/relationships/metadata/core-properties" Target="/docProps/core.xml" /><Relationship Id="customR3914E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budou kompetence ověřovány nejen ve zkušební místnosti, ale také přímo v zemědělském podniku zaměřeném na chov drůbeže. Při vstupu do chovu musí uchazeč splňovat požadavky veterinárních předpisů (zákon č. 166/1999 Sb. a vyhláška č. 342/2012 Sb.) a obecně platných pravidel zoohygieny.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Podklady pro ověřování jednotlivých kompetencí budou brány z konkrétního závodu nebo vytvořeny pro modelový (vzorový) závod. Předvedení dovedností při posuzování potřeby odborného zásahu v chovu drůbeže budou ověřovány v konkrétním chovu.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drůbeže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souboru minimálně 15 fotografií současných plemen a hybridů jednotlivých druhů drůbeže.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počítači s připojením na internet.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užitkových vlastností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s využitím technologického postupu daného hybrida.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