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B2DD6" Type="http://schemas.openxmlformats.org/officeDocument/2006/relationships/officeDocument" Target="/word/document.xml" /><Relationship Id="coreR1E4B2DD6" Type="http://schemas.openxmlformats.org/package/2006/relationships/metadata/core-properties" Target="/docProps/core.xml" /><Relationship Id="customR1E4B2D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budou kompetence ověřovány nejen ve zkušební místnosti, ale také přímo v zemědělském podniku zaměřeném na chov drůbeže. Při vstupu do chovu musí uchazeč splňovat požadavky veterinárních předpisů (zákon č. 166/1999 Sb. a vyhláška č. 342/2012 Sb.) a obecně platných pravidel zoohygieny.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Podklady pro ověřování jednotlivých kompetencí budou brány z konkrétního závodu nebo vytvořeny pro modelový (vzorový) závod. Předvedení dovedností při posuzování potřeby odborného zásahu v chovu drůbeže budou ověřovány v konkrétním chovu.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drůbeže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souboru minimálně 15 fotografií současných plemen a hybridů jednotlivých druhů drůbeže.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počítači s připojením na internet.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užitkových vlastností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s využitím technologického postupu daného hybrida.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