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B4F8B" Type="http://schemas.openxmlformats.org/officeDocument/2006/relationships/officeDocument" Target="/word/document.xml" /><Relationship Id="coreRACB4F8B" Type="http://schemas.openxmlformats.org/package/2006/relationships/metadata/core-properties" Target="/docProps/core.xml" /><Relationship Id="customRACB4F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drůbeže (kód: 41-112-M)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drůbeže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drůbeže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drůbeže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Sběr, ošetření a třídění vajec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http://katalog.nsp.cz/karta_tp.aspx?id_jp=6082&amp;kod_sm1=26).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schopnosti uchazeče budou kompetence ověřovány nejen ve zkušební místnosti, ale také přímo v zemědělském podniku zaměřeném na chov drůbeže.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chovu drůbeže v zemědělském podniku. Je třeba hodnotit přístup ke zvířatům a respektování zásad pohody zvířat. Podklady pro ověřování jednotlivých kompetencí budou brány z konkrétního podniku nebo vytvořeny pro vzorový podnik. Předvedení dovedností při posuzování potřeby odborného zásahu v chovu drůbeže budou ověřovány v konkrétních chovech.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chovu drůbeže v ČR" bude k dispozici minimálně 15 fotografií současných plemen a hybridů jednotlivých druhů drůbeže.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drůbeže" bude k dispozici počítač s připojením na internet.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péče o zdraví drůbeže", u kritéria a) bude uchazeč posuzovat vhodnost podmínek prostředí pro chovanou kategorii a druh drůbeže. Ověřování proběhne v objektu pro chov hrabavé (kur domácí nebo krůty) nebo vodní drůbeže (kachny nebo husy).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Pardubického kraje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