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BDD841" Type="http://schemas.openxmlformats.org/officeDocument/2006/relationships/officeDocument" Target="/word/document.xml" /><Relationship Id="coreR5FBDD841" Type="http://schemas.openxmlformats.org/package/2006/relationships/metadata/core-properties" Target="/docProps/core.xml" /><Relationship Id="customR5FBDD8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programově řízených strojů a linek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a strojních zařízení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a strojních zařízení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programově řízených výrobních linek v kamenické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11.04.2017 do: 13.09.2022</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5:02:03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18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http://katalog.nsp.cz/karta_p.aspx?id_jp=101960).</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technologických postupech strojního opracování kamene,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Zpracování programů pro programově řízené stroje, strojní zařízení a výrobní linky v kamenické výrobě,</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Obsluha a údržba programově řízených strojů a strojních zařízení v kamenické výrobě, kritérium c); Obsluha programově řízených výrobních linek v kamenické výrobě,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5:02:03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 Světlá nad Sázavou - Lipnice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5:02:03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64A2A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