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B3EBB" Type="http://schemas.openxmlformats.org/officeDocument/2006/relationships/officeDocument" Target="/word/document.xml" /><Relationship Id="coreR74DB3EBB" Type="http://schemas.openxmlformats.org/package/2006/relationships/metadata/core-properties" Target="/docProps/core.xml" /><Relationship Id="customR74DB3E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programově řízených strojů a linek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a strojních zařízení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programově řízených výrobních linek v kamenické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13.09.2022</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18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http://katalog.nsp.cz/karta_p.aspx?id_jp=101960).</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technologických postupech strojního opracování kamene,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Zpracování programů pro programově řízené stroje, strojní zařízení a výrobní linky v kamenické výrobě,</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Obsluha a údržba programově řízených strojů a strojních zařízení v kamenické výrobě, kritérium c); Obsluha programově řízených výrobních linek v kamenické výrobě,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 Světlá nad Sázavou - Lipnice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788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