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37066" Type="http://schemas.openxmlformats.org/officeDocument/2006/relationships/officeDocument" Target="/word/document.xml" /><Relationship Id="coreR44037066" Type="http://schemas.openxmlformats.org/package/2006/relationships/metadata/core-properties" Target="/docProps/core.xml" /><Relationship Id="customR44037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orientace v technických předpisech platných pravidel pro jednotlivé cyklistické disciplíny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 ověřování praktickým předvedením je třeba přihlížet k orientaci na pracovišti, volbě nářadí a přípravků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předloží uchazeči konkrétní komponenty a součásti jízdních kol při ověřování kritérií těchto kompetencí: Volba velikosti a geometrie jízdního kola; Volba jízdního kola podle cyklistických disciplín a pravidel; Volba a montáž rámu, vidlice a hlavového složení jízdního kola; Montáž řídítek, představců, sedlovek a sedel jízdního kola; Volba a montáž středového složení, klik a pedálů jízdního kola; Volba a montáž řadicích systémů jízdního kola; Volba a montáž převodových systémů jízdního kola; Volba a montáž brzd jízdního kola; Volba a kompletece kol jízdního kola; Volba a montáž odpružených komponentů jízdního kola; Celková montáž závodního kola podle pravidel UCI; Servis jízdního kola.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a ústní ověřování je možné předložit jejich obrazové předlohy.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CYKLOTÁBOR,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DUKLA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 sportovního týmu, 20.10.2026 12:35:31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