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B1AA" Type="http://schemas.openxmlformats.org/officeDocument/2006/relationships/officeDocument" Target="/word/document.xml" /><Relationship Id="coreR520B1AA" Type="http://schemas.openxmlformats.org/package/2006/relationships/metadata/core-properties" Target="/docProps/core.xml" /><Relationship Id="customR520B1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řadicích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předpisech platných pravidel pro jednotlivé cyklistické disciplíny, tj. uchazeči jsou poskytnuty platné dokumenty k nahlížení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praktickým předvedením je třeba přihlížet k orientaci na pracovišti, volbě nářadí a přípravků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konkrétní komponenty a součásti jízdních kol při ověřování kritérií těchto kompetencí: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velikosti a geometrie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jízdního kola podle cyklistických disciplín a pravidel;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rámu, vidlice a hlavového složení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Montáž řídítek, představců, sedlovek a sedel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středového složení, klik a pedálů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řadicích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převodových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brzd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kompletace kol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odpružených komponentů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montáž závodního kola podle pravidel UCI;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jízdního kola.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jízdního kola podle cyklistických disciplín a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AOs vybere jedno z kol, která jsou na místě zkoušky připravena, viz. materiálně-technické zabezpečení.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je možné předložit obrazové předlohy.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Stárek,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Jaroslav Brynda, SOŠ a SOU Neratovice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Berka,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 Vobora, Cyklotábor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1CEEA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E166D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