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863A84" Type="http://schemas.openxmlformats.org/officeDocument/2006/relationships/officeDocument" Target="/word/document.xml" /><Relationship Id="coreR5D863A84" Type="http://schemas.openxmlformats.org/package/2006/relationships/metadata/core-properties" Target="/docProps/core.xml" /><Relationship Id="customR5D863A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Rozlišení základních způsobů obsluhy a akcí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a výzdoba tabulí a prostor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zařízení v odbytovém středisku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míchaných nápojů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11:08:25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provedeno v gastronomickém středisku při simulovaných nebo reálných akcích. Může se jednat o obsluhu při slavnostních příležitostech – banketech, koktejlech, rautech a dalších společenských příležitostech.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 dodržování pravidel obsluhy, ke kvalitě komunikace s hostem i k časovému hledisku. Praktické předvedení činností uchazeč doplní slovním vysvětlením. Bude provedena kontrola kvality vykonané práce.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11:08:25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11:08:25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