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5BCD0B66" Type="http://schemas.openxmlformats.org/officeDocument/2006/relationships/officeDocument" Target="/word/document.xml" /><Relationship Id="coreR5BCD0B66" Type="http://schemas.openxmlformats.org/package/2006/relationships/metadata/core-properties" Target="/docProps/core.xml" /><Relationship Id="customR5BCD0B66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Číšník/servírka (kód: 65-008-H)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pro místní rozvoj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Gastronomie, hotelnictví a turismus (kód: 65)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Číšník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Vyúčtování tržeb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Uvedení hostů, poskytnutí pomoci při výběru z jídelního lístku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Vyřizování objednávek hostů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Sestavení jídelního lístku a sledu pokrmů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Inkasování plateb od hostů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Příprava a podávání nápojů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Ošetřování a skladování nápojů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Nakládání s inventářem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2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Skladování potravinářských surovin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00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62"/>
        <w:rPr>
          <w:rStyle w:val="C13"/>
          <w:rtl w:val="0"/>
        </w:rPr>
      </w:pPr>
      <w:r>
        <w:rPr>
          <w:rStyle w:val="C13"/>
          <w:rtl w:val="0"/>
        </w:rPr>
        <w:t>Rozlišení základních způsobů obsluhy a akcí</w:t>
      </w:r>
    </w:p>
    <w:p>
      <w:pPr>
        <w:pStyle w:val="P18"/>
        <w:framePr w:w="805" w:h="376" w:hRule="exact" w:wrap="none" w:vAnchor="page" w:hAnchor="margin" w:x="9916" w:y="900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6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938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438"/>
        <w:rPr>
          <w:rStyle w:val="C11"/>
          <w:rtl w:val="0"/>
        </w:rPr>
      </w:pPr>
      <w:r>
        <w:rPr>
          <w:rStyle w:val="C11"/>
          <w:rtl w:val="0"/>
        </w:rPr>
        <w:t>Příprava a výzdoba tabulí a prostor</w:t>
      </w:r>
    </w:p>
    <w:p>
      <w:pPr>
        <w:pStyle w:val="P14"/>
        <w:framePr w:w="805" w:h="376" w:hRule="exact" w:wrap="none" w:vAnchor="page" w:hAnchor="margin" w:x="9916" w:y="938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43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75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814"/>
        <w:rPr>
          <w:rStyle w:val="C13"/>
          <w:rtl w:val="0"/>
        </w:rPr>
      </w:pPr>
      <w:r>
        <w:rPr>
          <w:rStyle w:val="C13"/>
          <w:rtl w:val="0"/>
        </w:rPr>
        <w:t>Podávání pokrmů a nápojů jednoduchou obsluhou</w:t>
      </w:r>
    </w:p>
    <w:p>
      <w:pPr>
        <w:pStyle w:val="P18"/>
        <w:framePr w:w="805" w:h="376" w:hRule="exact" w:wrap="none" w:vAnchor="page" w:hAnchor="margin" w:x="9916" w:y="975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81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013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0190"/>
        <w:rPr>
          <w:rStyle w:val="C11"/>
          <w:rtl w:val="0"/>
        </w:rPr>
      </w:pPr>
      <w:r>
        <w:rPr>
          <w:rStyle w:val="C11"/>
          <w:rtl w:val="0"/>
        </w:rPr>
        <w:t>Obsluha zařízení v odbytovém středisku</w:t>
      </w:r>
    </w:p>
    <w:p>
      <w:pPr>
        <w:pStyle w:val="P14"/>
        <w:framePr w:w="805" w:h="376" w:hRule="exact" w:wrap="none" w:vAnchor="page" w:hAnchor="margin" w:x="9916" w:y="1013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019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1051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0567"/>
        <w:rPr>
          <w:rStyle w:val="C13"/>
          <w:rtl w:val="0"/>
        </w:rPr>
      </w:pPr>
      <w:r>
        <w:rPr>
          <w:rStyle w:val="C13"/>
          <w:rtl w:val="0"/>
        </w:rPr>
        <w:t>Obsluha výčepních zařízení</w:t>
      </w:r>
    </w:p>
    <w:p>
      <w:pPr>
        <w:pStyle w:val="P18"/>
        <w:framePr w:w="805" w:h="376" w:hRule="exact" w:wrap="none" w:vAnchor="page" w:hAnchor="margin" w:x="9916" w:y="1051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056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088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0943"/>
        <w:rPr>
          <w:rStyle w:val="C11"/>
          <w:rtl w:val="0"/>
        </w:rPr>
      </w:pPr>
      <w:r>
        <w:rPr>
          <w:rStyle w:val="C11"/>
          <w:rtl w:val="0"/>
        </w:rPr>
        <w:t>Podávání pokrmů a nápojů složitou obsluhou</w:t>
      </w:r>
    </w:p>
    <w:p>
      <w:pPr>
        <w:pStyle w:val="P14"/>
        <w:framePr w:w="805" w:h="376" w:hRule="exact" w:wrap="none" w:vAnchor="page" w:hAnchor="margin" w:x="9916" w:y="1088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094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1126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1319"/>
        <w:rPr>
          <w:rStyle w:val="C13"/>
          <w:rtl w:val="0"/>
        </w:rPr>
      </w:pPr>
      <w:r>
        <w:rPr>
          <w:rStyle w:val="C13"/>
          <w:rtl w:val="0"/>
        </w:rPr>
        <w:t>Výroba míchaných nápojů</w:t>
      </w:r>
    </w:p>
    <w:p>
      <w:pPr>
        <w:pStyle w:val="P18"/>
        <w:framePr w:w="805" w:h="376" w:hRule="exact" w:wrap="none" w:vAnchor="page" w:hAnchor="margin" w:x="9916" w:y="1126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131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163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1695"/>
        <w:rPr>
          <w:rStyle w:val="C11"/>
          <w:rtl w:val="0"/>
        </w:rPr>
      </w:pPr>
      <w:r>
        <w:rPr>
          <w:rStyle w:val="C11"/>
          <w:rtl w:val="0"/>
        </w:rPr>
        <w:t>Zajištění bezpečnosti hostů, BOZP, PO</w:t>
      </w:r>
    </w:p>
    <w:p>
      <w:pPr>
        <w:pStyle w:val="P14"/>
        <w:framePr w:w="805" w:h="376" w:hRule="exact" w:wrap="none" w:vAnchor="page" w:hAnchor="margin" w:x="9916" w:y="1163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169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1201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2072"/>
        <w:rPr>
          <w:rStyle w:val="C13"/>
          <w:rtl w:val="0"/>
        </w:rPr>
      </w:pPr>
      <w:r>
        <w:rPr>
          <w:rStyle w:val="C13"/>
          <w:rtl w:val="0"/>
        </w:rPr>
        <w:t>Organizování práce v provozu a při gastronomických akcích</w:t>
      </w:r>
    </w:p>
    <w:p>
      <w:pPr>
        <w:pStyle w:val="P18"/>
        <w:framePr w:w="805" w:h="376" w:hRule="exact" w:wrap="none" w:vAnchor="page" w:hAnchor="margin" w:x="9916" w:y="1201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207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239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2448"/>
        <w:rPr>
          <w:rStyle w:val="C11"/>
          <w:rtl w:val="0"/>
        </w:rPr>
      </w:pPr>
      <w:r>
        <w:rPr>
          <w:rStyle w:val="C11"/>
          <w:rtl w:val="0"/>
        </w:rPr>
        <w:t>Provádění hygienicko-sanitační činnosti v potravinářských provozech a dodržování hygienických předpisů</w:t>
      </w:r>
    </w:p>
    <w:p>
      <w:pPr>
        <w:pStyle w:val="P14"/>
        <w:framePr w:w="805" w:h="376" w:hRule="exact" w:wrap="none" w:vAnchor="page" w:hAnchor="margin" w:x="9916" w:y="1239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244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12995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13335"/>
        <w:rPr>
          <w:rStyle w:val="C15"/>
          <w:rtl w:val="0"/>
        </w:rPr>
      </w:pPr>
      <w:r>
        <w:rPr>
          <w:rStyle w:val="C15"/>
          <w:rtl w:val="0"/>
        </w:rPr>
        <w:t>Standard je platný od: 21.10.2022 do: 29.08.2023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Číšník/servírka, 8.9.2026 7:47:56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4280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359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Autorizovaná osoba informuje, které doklady musí uchazeč předložit, aby zkouška proběhla v souladu s platnými právními předpisy. </w:t>
      </w:r>
    </w:p>
    <w:p>
      <w:pPr>
        <w:keepNext w:val="0"/>
        <w:keepLines w:val="0"/>
        <w:framePr w:w="10766" w:h="359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je vyžadována (odkaz na NSP: http://katalog.nsp.cz/karta_tp.aspx?id_jp=162&amp;kod_sm1=18).</w:t>
      </w:r>
    </w:p>
    <w:p>
      <w:pPr>
        <w:keepNext w:val="0"/>
        <w:keepLines w:val="0"/>
        <w:framePr w:w="10766" w:h="359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Všechny osoby, které se přímo zúčastní zkoušky, musí mít platný zdravotní průkaz pro práci v potravinářství.</w:t>
      </w:r>
    </w:p>
    <w:p>
      <w:pPr>
        <w:keepNext w:val="0"/>
        <w:keepLines w:val="0"/>
        <w:framePr w:w="10766" w:h="359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Jednotlivá kritéria se ověřují uvedenými nástroji hodnocení a zaměřují se jak na proces, tak na výsledek.</w:t>
      </w:r>
    </w:p>
    <w:p>
      <w:pPr>
        <w:keepNext w:val="0"/>
        <w:keepLines w:val="0"/>
        <w:framePr w:w="10766" w:h="359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Ověřování bude provedeno v gastronomickém středisku při simulovaných nebo reálných akcích. Může se jednat o obsluhu při slavnostních příležitostech – banketech, koktejlech, rautech a dalších společenských příležitostech. </w:t>
      </w:r>
    </w:p>
    <w:p>
      <w:pPr>
        <w:keepNext w:val="0"/>
        <w:keepLines w:val="0"/>
        <w:framePr w:w="10766" w:h="359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splnění kritérií založených na formě praktického předvedení je třeba přihlížet především k bezpečnému provádění všech úkonů, k dodržování pravidel obsluhy, ke kvalitě komunikace s hostem i k časovému hledisku. Praktické předvedení činností uchazeč doplní slovním vysvětlením. Bude provedena kontrola kvality vykonané práce.</w:t>
      </w:r>
    </w:p>
    <w:p>
      <w:pPr>
        <w:keepNext w:val="0"/>
        <w:keepLines w:val="0"/>
        <w:framePr w:w="10766" w:h="359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 celou dobu hodnocení je sledováno dodržování hygienických předpisů, předpisů bezpečnosti práce a techniky obsluhy, dodržování časového harmonogramu, estetická hlediska, profesionální chování.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Číšník/servírka, 8.9.2026 7:47:56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17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připravila SR pro pohostinství, gastronomii a cestovní ruch, ustavená a licencovaná pro tuto činnost HK ČR a SP ČR.</w:t>
      </w:r>
    </w:p>
    <w:p>
      <w:pPr>
        <w:keepNext w:val="0"/>
        <w:keepLines w:val="0"/>
        <w:framePr w:w="10766" w:h="117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7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17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Asociace hotelů a restaurací (AHR)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Číšník/servírka, 8.9.2026 7:47:56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