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7F1DD" Type="http://schemas.openxmlformats.org/officeDocument/2006/relationships/officeDocument" Target="/word/document.xml" /><Relationship Id="coreRF47F1DD" Type="http://schemas.openxmlformats.org/package/2006/relationships/metadata/core-properties" Target="/docProps/core.xml" /><Relationship Id="customRF47F1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/ polygrafická technička mistrová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standardizovaných technologických postupů a kvality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tiskových barev a dalších materiálů, přípravků a pomůcek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polygrafické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polygrafické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plnění operativních plánů polygrafické výroby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20.10.2026 6:35:56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mist#zdravotni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20.10.2026 6:35:56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149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388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388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38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38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388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388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38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6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618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61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61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618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6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618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6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61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618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6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38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3849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3849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3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38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384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384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09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098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09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0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0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0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09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09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3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348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348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348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34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348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34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97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597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5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59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59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597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4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4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4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48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484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4847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48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0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9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097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09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4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4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34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34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34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5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59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59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5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5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5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5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596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596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596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583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583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583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58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58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58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583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0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0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0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0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08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081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33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33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33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8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68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6801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6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68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6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6801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0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03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0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0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0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03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03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03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03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26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2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5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5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50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50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5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50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50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5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5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73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7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73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7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73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737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7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7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73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737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796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79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796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796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796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79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19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19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1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1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19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1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19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1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42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20.10.2026 6:35:56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20.10.2026 6:35:56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