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0F1648" Type="http://schemas.openxmlformats.org/officeDocument/2006/relationships/officeDocument" Target="/word/document.xml" /><Relationship Id="coreR3A0F1648" Type="http://schemas.openxmlformats.org/package/2006/relationships/metadata/core-properties" Target="/docProps/core.xml" /><Relationship Id="customR3A0F16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Báňský úpravář uranu (kód: 21-067-H)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vyhláškách a technických předpisech týkající se obsluhy úpravny uranu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zařízení technologického procesu linky chemického zpracování uranové rudy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zařízení v sestavě technologické linky chemické úpravny uranu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Monitoring ionizujícího záření na pracovišti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26.07.2016 do: 19.08.2020</w:t>
      </w:r>
    </w:p>
    <w:p>
      <w:pPr>
        <w:pStyle w:val="P21"/>
        <w:framePr w:w="7654" w:h="331" w:hRule="exact" w:wrap="none" w:vAnchor="page" w:hAnchor="margin" w:x="28" w:y="15940"/>
        <w:rPr>
          <w:rStyle w:val="C16"/>
          <w:rtl w:val="0"/>
        </w:rPr>
      </w:pPr>
      <w:r>
        <w:rPr>
          <w:rStyle w:val="C16"/>
          <w:rtl w:val="0"/>
        </w:rPr>
        <w:t>Báňský úpravář uranu, 30.9.2026 5:52:15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vyhláškách a technických předpisech týkající se obsluhy úpravny uranu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Vyhledat v technických, bezpečnostních, provozních předpisech a dokumentaci relevantní informace týkající se povinností pracovníků při procesu drcení, mletí a chemické zpracování uranové rudy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Popsat podle technologického předpisu technologie zpracování uranové rudy (způsob provedení jednotlivých činností při drcení, mletí a chemickém zpracování uranové rudy)</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Popsat proces měření bilančních hodnot uranové rudy a způsob zpracování uranové rudy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Obsluha zařízení technologického procesu linky chemického zpracování uranové rudy</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831" w:hRule="exact" w:wrap="none" w:vAnchor="page" w:hAnchor="margin" w:x="45" w:y="7161"/>
        <w:rPr>
          <w:rStyle w:val="C3"/>
          <w:rtl w:val="0"/>
        </w:rPr>
      </w:pPr>
    </w:p>
    <w:p>
      <w:pPr>
        <w:pStyle w:val="P13"/>
        <w:framePr w:w="6658" w:h="704" w:hRule="exact" w:wrap="none" w:vAnchor="page" w:hAnchor="margin" w:x="71" w:y="7217"/>
        <w:rPr>
          <w:rStyle w:val="C11"/>
          <w:rtl w:val="0"/>
        </w:rPr>
      </w:pPr>
      <w:r>
        <w:rPr>
          <w:rStyle w:val="C11"/>
          <w:rtl w:val="0"/>
        </w:rPr>
        <w:t>a) Popsat zařízení technologického procesu chemického zpracování (pracoviště vybavené zařízením pro drcení, mletí a loužení uranové rudy) a vysvětlit jeho funkci a povinnosti při jeho obsluze</w:t>
      </w:r>
    </w:p>
    <w:p>
      <w:pPr>
        <w:pStyle w:val="P28"/>
        <w:framePr w:w="3921" w:h="831" w:hRule="exact" w:wrap="none" w:vAnchor="page" w:hAnchor="margin" w:x="6800" w:y="7161"/>
        <w:rPr>
          <w:rStyle w:val="C3"/>
          <w:rtl w:val="0"/>
        </w:rPr>
      </w:pPr>
    </w:p>
    <w:p>
      <w:pPr>
        <w:pStyle w:val="P29"/>
        <w:framePr w:w="3839" w:h="704" w:hRule="exact" w:wrap="none" w:vAnchor="page" w:hAnchor="margin" w:x="6856" w:y="7217"/>
        <w:rPr>
          <w:rStyle w:val="C21"/>
          <w:rtl w:val="0"/>
        </w:rPr>
      </w:pPr>
      <w:r>
        <w:rPr>
          <w:rStyle w:val="C21"/>
          <w:rtl w:val="0"/>
        </w:rPr>
        <w:t>Praktické předvedení a ústní ověření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Vyjmenovat nástroje, nářadí, osobní ochranné pracovní prostředky a ostatní potřebné náležitosti k chemickému zpracování uranové rudy</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Ústní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c) Popsat bezpečnost práce při procesu zpracování uranové rudy</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Seřizování zařízení v sestavě technologické linky chemické úpravny uranu</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376" w:hRule="exact" w:wrap="none" w:vAnchor="page" w:hAnchor="margin" w:x="45" w:y="10340"/>
        <w:rPr>
          <w:rStyle w:val="C3"/>
          <w:rtl w:val="0"/>
        </w:rPr>
      </w:pPr>
    </w:p>
    <w:p>
      <w:pPr>
        <w:pStyle w:val="P13"/>
        <w:framePr w:w="6658" w:h="249" w:hRule="exact" w:wrap="none" w:vAnchor="page" w:hAnchor="margin" w:x="71" w:y="10396"/>
        <w:rPr>
          <w:rStyle w:val="C11"/>
          <w:rtl w:val="0"/>
        </w:rPr>
      </w:pPr>
      <w:r>
        <w:rPr>
          <w:rStyle w:val="C11"/>
          <w:rtl w:val="0"/>
        </w:rPr>
        <w:t>a) Popsat postup a činnosti při ošetřování a údržbě technologické linky</w:t>
      </w:r>
    </w:p>
    <w:p>
      <w:pPr>
        <w:pStyle w:val="P28"/>
        <w:framePr w:w="3921" w:h="376" w:hRule="exact" w:wrap="none" w:vAnchor="page" w:hAnchor="margin" w:x="6800" w:y="10340"/>
        <w:rPr>
          <w:rStyle w:val="C3"/>
          <w:rtl w:val="0"/>
        </w:rPr>
      </w:pPr>
    </w:p>
    <w:p>
      <w:pPr>
        <w:pStyle w:val="P29"/>
        <w:framePr w:w="3839" w:h="249" w:hRule="exact" w:wrap="none" w:vAnchor="page" w:hAnchor="margin" w:x="6856" w:y="10396"/>
        <w:rPr>
          <w:rStyle w:val="C21"/>
          <w:rtl w:val="0"/>
        </w:rPr>
      </w:pPr>
      <w:r>
        <w:rPr>
          <w:rStyle w:val="C21"/>
          <w:rtl w:val="0"/>
        </w:rPr>
        <w:t>Ústní ověření</w:t>
      </w:r>
    </w:p>
    <w:p>
      <w:pPr>
        <w:pStyle w:val="P16"/>
        <w:framePr w:w="6710" w:h="376" w:hRule="exact" w:wrap="none" w:vAnchor="page" w:hAnchor="margin" w:x="45" w:y="10716"/>
        <w:rPr>
          <w:rStyle w:val="C3"/>
          <w:rtl w:val="0"/>
        </w:rPr>
      </w:pPr>
    </w:p>
    <w:p>
      <w:pPr>
        <w:pStyle w:val="P17"/>
        <w:framePr w:w="6658" w:h="249" w:hRule="exact" w:wrap="none" w:vAnchor="page" w:hAnchor="margin" w:x="71" w:y="10772"/>
        <w:rPr>
          <w:rStyle w:val="C13"/>
          <w:rtl w:val="0"/>
        </w:rPr>
      </w:pPr>
      <w:r>
        <w:rPr>
          <w:rStyle w:val="C13"/>
          <w:rtl w:val="0"/>
        </w:rPr>
        <w:t>b) Provést úkony denního ošetření a běžné údržby technologické linky</w:t>
      </w:r>
    </w:p>
    <w:p>
      <w:pPr>
        <w:pStyle w:val="P30"/>
        <w:framePr w:w="3921" w:h="376" w:hRule="exact" w:wrap="none" w:vAnchor="page" w:hAnchor="margin" w:x="6800" w:y="10716"/>
        <w:rPr>
          <w:rStyle w:val="C3"/>
          <w:rtl w:val="0"/>
        </w:rPr>
      </w:pPr>
    </w:p>
    <w:p>
      <w:pPr>
        <w:pStyle w:val="P31"/>
        <w:framePr w:w="3839" w:h="249" w:hRule="exact" w:wrap="none" w:vAnchor="page" w:hAnchor="margin" w:x="6856" w:y="10772"/>
        <w:rPr>
          <w:rStyle w:val="C22"/>
          <w:rtl w:val="0"/>
        </w:rPr>
      </w:pPr>
      <w:r>
        <w:rPr>
          <w:rStyle w:val="C22"/>
          <w:rtl w:val="0"/>
        </w:rPr>
        <w:t>Praktické předvedení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c) Provádět běžné kontroly technického stavu technologické linky</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Praktické předvedení a ústní ověření</w:t>
      </w:r>
    </w:p>
    <w:p>
      <w:pPr>
        <w:pStyle w:val="P32"/>
        <w:framePr w:w="10710" w:h="248" w:hRule="exact" w:wrap="none" w:vAnchor="page" w:hAnchor="margin" w:x="28" w:y="11582"/>
        <w:rPr>
          <w:rStyle w:val="C23"/>
          <w:rtl w:val="0"/>
        </w:rPr>
      </w:pPr>
      <w:r>
        <w:rPr>
          <w:rStyle w:val="C23"/>
          <w:rtl w:val="0"/>
        </w:rPr>
        <w:t>Je třeba splnit všechna kritéria.</w:t>
      </w:r>
    </w:p>
    <w:p>
      <w:pPr>
        <w:pStyle w:val="P23"/>
        <w:framePr w:w="10710" w:h="340" w:hRule="exact" w:wrap="none" w:vAnchor="page" w:hAnchor="margin" w:x="28" w:y="12017"/>
        <w:rPr>
          <w:rStyle w:val="C18"/>
          <w:rtl w:val="0"/>
        </w:rPr>
      </w:pPr>
      <w:r>
        <w:rPr>
          <w:rStyle w:val="C18"/>
          <w:rtl w:val="0"/>
        </w:rPr>
        <w:t>Monitoring ionizujícího záření na pracovišti</w:t>
      </w:r>
    </w:p>
    <w:p>
      <w:pPr>
        <w:pStyle w:val="P24"/>
        <w:framePr w:w="6713" w:h="376" w:hRule="exact" w:wrap="none" w:vAnchor="page" w:hAnchor="margin" w:x="45" w:y="12457"/>
        <w:rPr>
          <w:rStyle w:val="C3"/>
          <w:rtl w:val="0"/>
        </w:rPr>
      </w:pPr>
    </w:p>
    <w:p>
      <w:pPr>
        <w:pStyle w:val="P25"/>
        <w:framePr w:w="6661" w:h="249" w:hRule="exact" w:wrap="none" w:vAnchor="page" w:hAnchor="margin" w:x="71" w:y="12528"/>
        <w:rPr>
          <w:rStyle w:val="C19"/>
          <w:rtl w:val="0"/>
        </w:rPr>
      </w:pPr>
      <w:r>
        <w:rPr>
          <w:rStyle w:val="C19"/>
          <w:rtl w:val="0"/>
        </w:rPr>
        <w:t>Kritéria hodnocení</w:t>
      </w:r>
    </w:p>
    <w:p>
      <w:pPr>
        <w:pStyle w:val="P26"/>
        <w:framePr w:w="3918" w:h="376" w:hRule="exact" w:wrap="none" w:vAnchor="page" w:hAnchor="margin" w:x="6803" w:y="12457"/>
        <w:rPr>
          <w:rStyle w:val="C3"/>
          <w:rtl w:val="0"/>
        </w:rPr>
      </w:pPr>
    </w:p>
    <w:p>
      <w:pPr>
        <w:pStyle w:val="P27"/>
        <w:framePr w:w="3836" w:h="249" w:hRule="exact" w:wrap="none" w:vAnchor="page" w:hAnchor="margin" w:x="6859" w:y="12528"/>
        <w:rPr>
          <w:rStyle w:val="C20"/>
          <w:rtl w:val="0"/>
        </w:rPr>
      </w:pPr>
      <w:r>
        <w:rPr>
          <w:rStyle w:val="C20"/>
          <w:rtl w:val="0"/>
        </w:rPr>
        <w:t>Způsoby ověření</w:t>
      </w:r>
    </w:p>
    <w:p>
      <w:pPr>
        <w:pStyle w:val="P12"/>
        <w:framePr w:w="6710" w:h="607" w:hRule="exact" w:wrap="none" w:vAnchor="page" w:hAnchor="margin" w:x="45" w:y="12833"/>
        <w:rPr>
          <w:rStyle w:val="C3"/>
          <w:rtl w:val="0"/>
        </w:rPr>
      </w:pPr>
    </w:p>
    <w:p>
      <w:pPr>
        <w:pStyle w:val="P13"/>
        <w:framePr w:w="6658" w:h="480" w:hRule="exact" w:wrap="none" w:vAnchor="page" w:hAnchor="margin" w:x="71" w:y="12889"/>
        <w:rPr>
          <w:rStyle w:val="C11"/>
          <w:rtl w:val="0"/>
        </w:rPr>
      </w:pPr>
      <w:r>
        <w:rPr>
          <w:rStyle w:val="C11"/>
          <w:rtl w:val="0"/>
        </w:rPr>
        <w:t>a) Popsat složení ovzduší pracovního prostředí, veličiny a parametry a jejich nebezpečí</w:t>
      </w:r>
    </w:p>
    <w:p>
      <w:pPr>
        <w:pStyle w:val="P28"/>
        <w:framePr w:w="3921" w:h="607" w:hRule="exact" w:wrap="none" w:vAnchor="page" w:hAnchor="margin" w:x="6800" w:y="12833"/>
        <w:rPr>
          <w:rStyle w:val="C3"/>
          <w:rtl w:val="0"/>
        </w:rPr>
      </w:pPr>
    </w:p>
    <w:p>
      <w:pPr>
        <w:pStyle w:val="P29"/>
        <w:framePr w:w="3839" w:h="480" w:hRule="exact" w:wrap="none" w:vAnchor="page" w:hAnchor="margin" w:x="6856" w:y="12889"/>
        <w:rPr>
          <w:rStyle w:val="C21"/>
          <w:rtl w:val="0"/>
        </w:rPr>
      </w:pPr>
      <w:r>
        <w:rPr>
          <w:rStyle w:val="C21"/>
          <w:rtl w:val="0"/>
        </w:rPr>
        <w:t>Ústní ověření</w:t>
      </w:r>
    </w:p>
    <w:p>
      <w:pPr>
        <w:pStyle w:val="P16"/>
        <w:framePr w:w="6710" w:h="607" w:hRule="exact" w:wrap="none" w:vAnchor="page" w:hAnchor="margin" w:x="45" w:y="13440"/>
        <w:rPr>
          <w:rStyle w:val="C3"/>
          <w:rtl w:val="0"/>
        </w:rPr>
      </w:pPr>
    </w:p>
    <w:p>
      <w:pPr>
        <w:pStyle w:val="P17"/>
        <w:framePr w:w="6658" w:h="480" w:hRule="exact" w:wrap="none" w:vAnchor="page" w:hAnchor="margin" w:x="71" w:y="13496"/>
        <w:rPr>
          <w:rStyle w:val="C13"/>
          <w:rtl w:val="0"/>
        </w:rPr>
      </w:pPr>
      <w:r>
        <w:rPr>
          <w:rStyle w:val="C13"/>
          <w:rtl w:val="0"/>
        </w:rPr>
        <w:t>b) Předvést používané prostředky k monitorování prostředí s ionizujícím zářením a popsat způsob měření</w:t>
      </w:r>
    </w:p>
    <w:p>
      <w:pPr>
        <w:pStyle w:val="P30"/>
        <w:framePr w:w="3921" w:h="607" w:hRule="exact" w:wrap="none" w:vAnchor="page" w:hAnchor="margin" w:x="6800" w:y="13440"/>
        <w:rPr>
          <w:rStyle w:val="C3"/>
          <w:rtl w:val="0"/>
        </w:rPr>
      </w:pPr>
    </w:p>
    <w:p>
      <w:pPr>
        <w:pStyle w:val="P31"/>
        <w:framePr w:w="3839" w:h="480" w:hRule="exact" w:wrap="none" w:vAnchor="page" w:hAnchor="margin" w:x="6856" w:y="13496"/>
        <w:rPr>
          <w:rStyle w:val="C22"/>
          <w:rtl w:val="0"/>
        </w:rPr>
      </w:pPr>
      <w:r>
        <w:rPr>
          <w:rStyle w:val="C22"/>
          <w:rtl w:val="0"/>
        </w:rPr>
        <w:t>Praktické předvedení a ústní ověření</w:t>
      </w:r>
    </w:p>
    <w:p>
      <w:pPr>
        <w:pStyle w:val="P12"/>
        <w:framePr w:w="6710" w:h="607" w:hRule="exact" w:wrap="none" w:vAnchor="page" w:hAnchor="margin" w:x="45" w:y="14047"/>
        <w:rPr>
          <w:rStyle w:val="C3"/>
          <w:rtl w:val="0"/>
        </w:rPr>
      </w:pPr>
    </w:p>
    <w:p>
      <w:pPr>
        <w:pStyle w:val="P13"/>
        <w:framePr w:w="6658" w:h="480" w:hRule="exact" w:wrap="none" w:vAnchor="page" w:hAnchor="margin" w:x="71" w:y="14103"/>
        <w:rPr>
          <w:rStyle w:val="C11"/>
          <w:rtl w:val="0"/>
        </w:rPr>
      </w:pPr>
      <w:r>
        <w:rPr>
          <w:rStyle w:val="C11"/>
          <w:rtl w:val="0"/>
        </w:rPr>
        <w:t>c) Předvést používané prostředky k osobnímu monitorování ionizujícího záření a popsat způsob měření</w:t>
      </w:r>
    </w:p>
    <w:p>
      <w:pPr>
        <w:pStyle w:val="P28"/>
        <w:framePr w:w="3921" w:h="607" w:hRule="exact" w:wrap="none" w:vAnchor="page" w:hAnchor="margin" w:x="6800" w:y="14047"/>
        <w:rPr>
          <w:rStyle w:val="C3"/>
          <w:rtl w:val="0"/>
        </w:rPr>
      </w:pPr>
    </w:p>
    <w:p>
      <w:pPr>
        <w:pStyle w:val="P29"/>
        <w:framePr w:w="3839" w:h="480" w:hRule="exact" w:wrap="none" w:vAnchor="page" w:hAnchor="margin" w:x="6856" w:y="14103"/>
        <w:rPr>
          <w:rStyle w:val="C21"/>
          <w:rtl w:val="0"/>
        </w:rPr>
      </w:pPr>
      <w:r>
        <w:rPr>
          <w:rStyle w:val="C21"/>
          <w:rtl w:val="0"/>
        </w:rPr>
        <w:t>Praktické předvedení a ústní ověření</w:t>
      </w:r>
    </w:p>
    <w:p>
      <w:pPr>
        <w:pStyle w:val="P32"/>
        <w:framePr w:w="10710" w:h="248" w:hRule="exact" w:wrap="none" w:vAnchor="page" w:hAnchor="margin" w:x="28" w:y="14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uranu, 30.9.2026 5:52:15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provedených činnostech na pracovišti a výsledcích předepsaných kontrol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předepsaným způsobem údaje o zjištěných závadách při provozu pracoviště, poruchách a opravách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Báňský úpravář uranu, 30.9.2026 5:52:15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Odkaz V NSP: http://katalog.nsp.cz/zdravotniPodminky.aspx?kod_sm1=27&amp;id_jp=102773 </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Báňský úpravář uranu, 30.9.2026 5:52:15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hornictví, z toho minimálně jeden rok v období posledních dvou let před podáním žádosti o autorizaci.</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hornictví, z toho minimálně jeden rok v období posledních dvou let před podáním žádosti o autorizaci.</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252" w:hRule="exact" w:wrap="none" w:vAnchor="page" w:hAnchor="margin" w:x="0" w:y="10517"/>
        <w:rPr>
          <w:rStyle w:val="C3"/>
          <w:rtl w:val="0"/>
        </w:rPr>
      </w:pPr>
    </w:p>
    <w:p>
      <w:pPr>
        <w:pStyle w:val="P35"/>
        <w:framePr w:w="10710" w:h="340" w:hRule="exact" w:wrap="none" w:vAnchor="page" w:hAnchor="margin" w:x="28" w:y="10517"/>
        <w:rPr>
          <w:rStyle w:val="C25"/>
          <w:rtl w:val="0"/>
        </w:rPr>
      </w:pPr>
      <w:r>
        <w:rPr>
          <w:rStyle w:val="C25"/>
          <w:rtl w:val="0"/>
        </w:rPr>
        <w:t>Nezbytné materiální a technické předpoklady pro provedení zkoušky</w:t>
      </w:r>
    </w:p>
    <w:p>
      <w:pPr>
        <w:keepNext w:val="0"/>
        <w:keepLines w:val="1"/>
        <w:framePr w:w="10766" w:h="3911"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zařízením pro drcení, mletí a loužení uranové rudy</w:t>
      </w:r>
    </w:p>
    <w:p>
      <w:pPr>
        <w:keepNext w:val="0"/>
        <w:keepLines w:val="1"/>
        <w:framePr w:w="10766" w:h="3911"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monitorování prostředí s ionizujícím zářením</w:t>
      </w:r>
    </w:p>
    <w:p>
      <w:pPr>
        <w:keepNext w:val="0"/>
        <w:keepLines w:val="1"/>
        <w:framePr w:w="10766" w:h="3911"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osobní monitorování ionizujícího záření</w:t>
      </w:r>
    </w:p>
    <w:p>
      <w:pPr>
        <w:keepNext w:val="0"/>
        <w:keepLines w:val="1"/>
        <w:framePr w:w="10766" w:h="3911"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w:t>
      </w:r>
    </w:p>
    <w:p>
      <w:pPr>
        <w:keepNext w:val="0"/>
        <w:keepLines w:val="1"/>
        <w:framePr w:w="10766" w:h="3911"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0"/>
        <w:framePr w:w="10766" w:h="3911"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911"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Báňský úpravář uranu, 30.9.2026 5:52:15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Báňský úpravář uranu, 30.9.2026 5:52:15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těžbu a úpravu nerostných surovin, ustavená a licencovaná pro tuto činnost HK ČR a SP ČR.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Báňský úpravář uranu, 30.9.2026 5:52:15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3AE7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AE76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2B0BD6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