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3051A0" Type="http://schemas.openxmlformats.org/officeDocument/2006/relationships/officeDocument" Target="/word/document.xml" /><Relationship Id="coreR613051A0" Type="http://schemas.openxmlformats.org/package/2006/relationships/metadata/core-properties" Target="/docProps/core.xml" /><Relationship Id="customR613051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při opravě karoserí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zpracování kovových a nekovových materiálů používaných na karoseriích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strojního zpracování plechů při opravách karoserií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dílů při opravách karoserií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a slícování šroubovaných dílů karoserie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poškozených dílů karoserie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Výměna určeného svařovaného dílu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karoserií, 20.10.2026 6:44:15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https://nsp.cz/jednotka-prace/karosar#zdravotni-zpusobilost).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01. Vstupním předpokladem je oprávnění k řízení vozidel skupiny „B“.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bude probíhat formou odpovědí na otevřené otázky. Pro kritéria se způsobem "písemné a ústní ověření" uchazeč písemně zodpoví zadané otázky a následně zodpoví upřesňující či doplňující otázky autorizované osoby.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 poškozených dílů karoserie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určí díl s úměrnou časovou náročností.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karoserií, 20.10.2026 6:44:15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karoserií, 20.10.2026 6:44:15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2B29D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