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AF9D6" Type="http://schemas.openxmlformats.org/officeDocument/2006/relationships/officeDocument" Target="/word/document.xml" /><Relationship Id="coreR239AF9D6" Type="http://schemas.openxmlformats.org/package/2006/relationships/metadata/core-properties" Target="/docProps/core.xml" /><Relationship Id="customR239AF9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42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6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2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7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3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7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90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6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88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7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96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4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0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0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06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7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10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Identifikace kybernetické hrozby a typu útoku pro potřeby analýzy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jednotlivé kategorie útoků – síťové útoky, útoky na uživatele, útoky na koncové stanice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DDoS a uvést typově podobné hrozby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pojem malware a specifikovat další typy škodlivého kódu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phishing a uvést typově podobné hrozby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Vysvětlit sniffing a uvést typově podobné hrozby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pojem drive-by download a uvést typově podobné hrozby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Analyzovat známý rozsáhlý kybernetický útok dle výběru uchazeče a vysvětlit jeho části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Využívání technických prostředků kybernetické bezpečnosti (security devices) v analýze kybernetických hrozeb</w:t>
      </w:r>
    </w:p>
    <w:p>
      <w:pPr>
        <w:pStyle w:val="P24"/>
        <w:framePr w:w="6713" w:h="376" w:hRule="exact" w:wrap="none" w:vAnchor="page" w:hAnchor="margin" w:x="45" w:y="72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a) Specifikovat nástroje a jejich využívání pro ochranu integrity komunikačních sítí</w:t>
      </w:r>
    </w:p>
    <w:p>
      <w:pPr>
        <w:pStyle w:val="P28"/>
        <w:framePr w:w="3921" w:h="607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9"/>
        <w:rPr>
          <w:rStyle w:val="C13"/>
          <w:rtl w:val="0"/>
        </w:rPr>
      </w:pPr>
      <w:r>
        <w:rPr>
          <w:rStyle w:val="C13"/>
          <w:rtl w:val="0"/>
        </w:rPr>
        <w:t xml:space="preserve">b) Specifikovat nástroje a jejich  využívání pro ověřování identity uživatelů a řízení přístupových oprávnění</w:t>
      </w:r>
    </w:p>
    <w:p>
      <w:pPr>
        <w:pStyle w:val="P30"/>
        <w:framePr w:w="3921" w:h="607" w:hRule="exact" w:wrap="none" w:vAnchor="page" w:hAnchor="margin" w:x="6800" w:y="8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6"/>
        <w:rPr>
          <w:rStyle w:val="C11"/>
          <w:rtl w:val="0"/>
        </w:rPr>
      </w:pPr>
      <w:r>
        <w:rPr>
          <w:rStyle w:val="C11"/>
          <w:rtl w:val="0"/>
        </w:rPr>
        <w:t xml:space="preserve">c) Specifikovat nástroje a jejich  využívání pro ochranu před škodlivým kódem</w:t>
      </w:r>
    </w:p>
    <w:p>
      <w:pPr>
        <w:pStyle w:val="P28"/>
        <w:framePr w:w="3921" w:h="607" w:hRule="exact" w:wrap="none" w:vAnchor="page" w:hAnchor="margin" w:x="6800" w:y="8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45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13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a jejich  využívání pro zaznamenávání činností informačních systémů podporujících regulovanou službu podle zákona č. 264/2025 Sb., o kybernetické bezpečnosti, ve znění pozdějších předpisů, jejich uživatelů a administrátorů</w:t>
      </w:r>
    </w:p>
    <w:p>
      <w:pPr>
        <w:pStyle w:val="P30"/>
        <w:framePr w:w="3921" w:h="1055" w:hRule="exact" w:wrap="none" w:vAnchor="page" w:hAnchor="margin" w:x="6800" w:y="945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8"/>
        <w:rPr>
          <w:rStyle w:val="C11"/>
          <w:rtl w:val="0"/>
        </w:rPr>
      </w:pPr>
      <w:r>
        <w:rPr>
          <w:rStyle w:val="C11"/>
          <w:rtl w:val="0"/>
        </w:rPr>
        <w:t xml:space="preserve">e) Specifikovat nástroje a jejich  využívání pro detekci kybernetických bezpečnostních událostí a nástroj pro sběr, analýzu a vyhodnocování kybernetických bezpečnostních událostí</w:t>
      </w:r>
    </w:p>
    <w:p>
      <w:pPr>
        <w:pStyle w:val="P28"/>
        <w:framePr w:w="3921" w:h="831" w:hRule="exact" w:wrap="none" w:vAnchor="page" w:hAnchor="margin" w:x="6800" w:y="10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9"/>
        <w:rPr>
          <w:rStyle w:val="C13"/>
          <w:rtl w:val="0"/>
        </w:rPr>
      </w:pPr>
      <w:r>
        <w:rPr>
          <w:rStyle w:val="C13"/>
          <w:rtl w:val="0"/>
        </w:rPr>
        <w:t>f) Předvést možnosti nastavení zaznamenávání činností (logování) OS Windows nebo Linux</w:t>
      </w:r>
    </w:p>
    <w:p>
      <w:pPr>
        <w:pStyle w:val="P30"/>
        <w:framePr w:w="3921" w:h="607" w:hRule="exact" w:wrap="none" w:vAnchor="page" w:hAnchor="margin" w:x="6800" w:y="11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99"/>
        <w:rPr>
          <w:rStyle w:val="C18"/>
          <w:rtl w:val="0"/>
        </w:rPr>
      </w:pPr>
      <w:r>
        <w:rPr>
          <w:rStyle w:val="C18"/>
          <w:rtl w:val="0"/>
        </w:rPr>
        <w:t>Využívání informací o kybernetických hrozbách – cyber threat intelligence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Popsat fáze kybernetického útoku – cyber kill chain</w:t>
      </w:r>
    </w:p>
    <w:p>
      <w:pPr>
        <w:pStyle w:val="P28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47"/>
        <w:rPr>
          <w:rStyle w:val="C13"/>
          <w:rtl w:val="0"/>
        </w:rPr>
      </w:pPr>
      <w:r>
        <w:rPr>
          <w:rStyle w:val="C13"/>
          <w:rtl w:val="0"/>
        </w:rPr>
        <w:t>b) Vysvětlit pojem indikátory kompromitace systému (IoCs)</w:t>
      </w:r>
    </w:p>
    <w:p>
      <w:pPr>
        <w:pStyle w:val="P30"/>
        <w:framePr w:w="3921" w:h="376" w:hRule="exact" w:wrap="none" w:vAnchor="page" w:hAnchor="margin" w:x="6800" w:y="136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c) Vysvětlit pojem TTP – taktiky, techniky a postupy</w:t>
      </w:r>
    </w:p>
    <w:p>
      <w:pPr>
        <w:pStyle w:val="P28"/>
        <w:framePr w:w="3921" w:h="376" w:hRule="exact" w:wrap="none" w:vAnchor="page" w:hAnchor="margin" w:x="6800" w:y="140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376" w:hRule="exact" w:wrap="none" w:vAnchor="page" w:hAnchor="margin" w:x="45" w:y="1444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376" w:hRule="exact" w:wrap="none" w:vAnchor="page" w:hAnchor="margin" w:x="45" w:y="144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Popsat MITRE ATT&amp;CK framework</w:t>
      </w:r>
    </w:p>
    <w:p>
      <w:pPr>
        <w:pStyle w:val="P30"/>
        <w:framePr w:w="3921" w:h="376" w:hRule="exact" w:wrap="none" w:vAnchor="page" w:hAnchor="margin" w:x="6800" w:y="144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6710" w:h="570" w:hRule="exact" w:wrap="none" w:vAnchor="page" w:hAnchor="margin" w:x="45" w:y="14820"/>
        <w:rPr>
          <w:rStyle w:val="C3"/>
          <w:rtl w:val="0"/>
        </w:rPr>
      </w:pP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Namapovat TTP známé skupiny útočníků dle výběru uchazeče na MITRE</w:t>
      </w: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ATT&amp;CK framework</w:t>
      </w:r>
    </w:p>
    <w:p>
      <w:pPr>
        <w:pStyle w:val="P28"/>
        <w:framePr w:w="3921" w:h="570" w:hRule="exact" w:wrap="none" w:vAnchor="page" w:hAnchor="margin" w:x="6800" w:y="14820"/>
        <w:rPr>
          <w:rStyle w:val="C3"/>
          <w:rtl w:val="0"/>
        </w:rPr>
      </w:pPr>
    </w:p>
    <w:p>
      <w:pPr>
        <w:pStyle w:val="P29"/>
        <w:framePr w:w="3839" w:h="443" w:hRule="exact" w:wrap="none" w:vAnchor="page" w:hAnchor="margin" w:x="6856" w:y="148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40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40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40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40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40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40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40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40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40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40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40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40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40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9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9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40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40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40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40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40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40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40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40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40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40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40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40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40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40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40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40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40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40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40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40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40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40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40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40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40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40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40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40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40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40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40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40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40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3" w:h="230" w:hRule="exact" w:wrap="none" w:vAnchor="page" w:hAnchor="margin" w:x="28" w:y="13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3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362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3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3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3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362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3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362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362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362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40"/>
        <w:framePr w:w="73" w:h="230" w:hRule="exact" w:wrap="none" w:vAnchor="page" w:hAnchor="margin" w:x="7536" w:y="1362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1"/>
        <w:framePr w:w="375" w:h="245" w:hRule="exact" w:wrap="none" w:vAnchor="page" w:hAnchor="margin" w:x="28" w:y="138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27" w:h="230" w:hRule="exact" w:wrap="none" w:vAnchor="page" w:hAnchor="margin" w:x="388" w:y="138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447" w:h="230" w:hRule="exact" w:wrap="none" w:vAnchor="page" w:hAnchor="margin" w:x="1358" w:y="138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0"/>
        <w:framePr w:w="802" w:h="230" w:hRule="exact" w:wrap="none" w:vAnchor="page" w:hAnchor="margin" w:x="1848" w:y="138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836" w:h="230" w:hRule="exact" w:wrap="none" w:vAnchor="page" w:hAnchor="margin" w:x="2692" w:y="138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437" w:h="230" w:hRule="exact" w:wrap="none" w:vAnchor="page" w:hAnchor="margin" w:x="3571" w:y="13870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004" w:h="230" w:hRule="exact" w:wrap="none" w:vAnchor="page" w:hAnchor="margin" w:x="28" w:y="14340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9"/>
        <w:framePr w:w="716" w:h="230" w:hRule="exact" w:wrap="none" w:vAnchor="page" w:hAnchor="margin" w:x="1075" w:y="1434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1124" w:h="230" w:hRule="exact" w:wrap="none" w:vAnchor="page" w:hAnchor="margin" w:x="1833" w:y="14340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9"/>
        <w:framePr w:w="989" w:h="230" w:hRule="exact" w:wrap="none" w:vAnchor="page" w:hAnchor="margin" w:x="3000" w:y="14340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9"/>
        <w:framePr w:w="1412" w:h="230" w:hRule="exact" w:wrap="none" w:vAnchor="page" w:hAnchor="margin" w:x="4032" w:y="14340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9"/>
        <w:framePr w:w="130" w:h="230" w:hRule="exact" w:wrap="none" w:vAnchor="page" w:hAnchor="margin" w:x="5486" w:y="14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69" w:h="230" w:hRule="exact" w:wrap="none" w:vAnchor="page" w:hAnchor="margin" w:x="5659" w:y="14340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40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49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82" w:h="230" w:hRule="exact" w:wrap="none" w:vAnchor="page" w:hAnchor="margin" w:x="220" w:y="148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49" w:h="230" w:hRule="exact" w:wrap="none" w:vAnchor="page" w:hAnchor="margin" w:x="945" w:y="148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1737" w:y="148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461" w:h="230" w:hRule="exact" w:wrap="none" w:vAnchor="page" w:hAnchor="margin" w:x="2836" w:y="14811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9"/>
        <w:framePr w:w="317" w:h="230" w:hRule="exact" w:wrap="none" w:vAnchor="page" w:hAnchor="margin" w:x="3340" w:y="14811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9"/>
        <w:framePr w:w="130" w:h="230" w:hRule="exact" w:wrap="none" w:vAnchor="page" w:hAnchor="margin" w:x="3700" w:y="148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35" w:h="230" w:hRule="exact" w:wrap="none" w:vAnchor="page" w:hAnchor="margin" w:x="3873" w:y="1481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9"/>
        <w:framePr w:w="548" w:h="230" w:hRule="exact" w:wrap="none" w:vAnchor="page" w:hAnchor="margin" w:x="4651" w:y="14811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9"/>
        <w:framePr w:w="130" w:h="230" w:hRule="exact" w:wrap="none" w:vAnchor="page" w:hAnchor="margin" w:x="5241" w:y="1481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658" w:h="230" w:hRule="exact" w:wrap="none" w:vAnchor="page" w:hAnchor="margin" w:x="5414" w:y="1481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9"/>
        <w:framePr w:w="1234" w:h="230" w:hRule="exact" w:wrap="none" w:vAnchor="page" w:hAnchor="margin" w:x="6115" w:y="1481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9"/>
        <w:framePr w:w="1167" w:h="230" w:hRule="exact" w:wrap="none" w:vAnchor="page" w:hAnchor="margin" w:x="7392" w:y="1481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8544" w:y="14811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40"/>
        <w:framePr w:w="783" w:h="230" w:hRule="exact" w:wrap="none" w:vAnchor="page" w:hAnchor="margin" w:x="8659" w:y="148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9484" w:y="148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115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28" w:y="150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605" w:h="230" w:hRule="exact" w:wrap="none" w:vAnchor="page" w:hAnchor="margin" w:x="1833" w:y="15041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40"/>
        <w:framePr w:w="130" w:h="230" w:hRule="exact" w:wrap="none" w:vAnchor="page" w:hAnchor="margin" w:x="2481" w:y="1504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903" w:h="230" w:hRule="exact" w:wrap="none" w:vAnchor="page" w:hAnchor="margin" w:x="2654" w:y="1504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605" w:h="230" w:hRule="exact" w:wrap="none" w:vAnchor="page" w:hAnchor="margin" w:x="3600" w:y="15041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40"/>
        <w:framePr w:w="116" w:h="230" w:hRule="exact" w:wrap="none" w:vAnchor="page" w:hAnchor="margin" w:x="4248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481" w:h="230" w:hRule="exact" w:wrap="none" w:vAnchor="page" w:hAnchor="margin" w:x="4406" w:y="150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40"/>
        <w:framePr w:w="159" w:h="230" w:hRule="exact" w:wrap="none" w:vAnchor="page" w:hAnchor="margin" w:x="4929" w:y="150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759" w:h="230" w:hRule="exact" w:wrap="none" w:vAnchor="page" w:hAnchor="margin" w:x="5131" w:y="15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5932" w:y="150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6216" w:y="150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35" w:h="230" w:hRule="exact" w:wrap="none" w:vAnchor="page" w:hAnchor="margin" w:x="7008" w:y="1504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40"/>
        <w:framePr w:w="562" w:h="230" w:hRule="exact" w:wrap="none" w:vAnchor="page" w:hAnchor="margin" w:x="7785" w:y="1504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826" w:h="230" w:hRule="exact" w:wrap="none" w:vAnchor="page" w:hAnchor="margin" w:x="8390" w:y="15041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40"/>
        <w:framePr w:w="572" w:h="230" w:hRule="exact" w:wrap="none" w:vAnchor="page" w:hAnchor="margin" w:x="9259" w:y="150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40"/>
        <w:framePr w:w="90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548" w:h="230" w:hRule="exact" w:wrap="none" w:vAnchor="page" w:hAnchor="margin" w:x="974" w:y="15271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40"/>
        <w:framePr w:w="769" w:h="230" w:hRule="exact" w:wrap="none" w:vAnchor="page" w:hAnchor="margin" w:x="1564" w:y="1527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759" w:h="230" w:hRule="exact" w:wrap="none" w:vAnchor="page" w:hAnchor="margin" w:x="2376" w:y="15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83" w:h="230" w:hRule="exact" w:wrap="none" w:vAnchor="page" w:hAnchor="margin" w:x="3177" w:y="1527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40"/>
        <w:framePr w:w="241" w:h="230" w:hRule="exact" w:wrap="none" w:vAnchor="page" w:hAnchor="margin" w:x="4003" w:y="15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4286" w:y="15271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40"/>
        <w:framePr w:w="130" w:h="230" w:hRule="exact" w:wrap="none" w:vAnchor="page" w:hAnchor="margin" w:x="4833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26" w:h="230" w:hRule="exact" w:wrap="none" w:vAnchor="page" w:hAnchor="margin" w:x="5006" w:y="1527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40"/>
        <w:framePr w:w="783" w:h="230" w:hRule="exact" w:wrap="none" w:vAnchor="page" w:hAnchor="margin" w:x="5875" w:y="15271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40"/>
        <w:framePr w:w="116" w:h="230" w:hRule="exact" w:wrap="none" w:vAnchor="page" w:hAnchor="margin" w:x="6700" w:y="152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25" w:h="230" w:hRule="exact" w:wrap="none" w:vAnchor="page" w:hAnchor="margin" w:x="6859" w:y="15271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40"/>
        <w:framePr w:w="735" w:h="230" w:hRule="exact" w:wrap="none" w:vAnchor="page" w:hAnchor="margin" w:x="7627" w:y="1527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40"/>
        <w:framePr w:w="7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847" w:hRule="exact" w:wrap="none" w:vAnchor="page" w:hAnchor="margin" w:x="0" w:y="765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4147" w:hRule="exact" w:wrap="none" w:vAnchor="page" w:hAnchor="margin" w:x="0" w:y="973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 v oblasti informačních a komunikačních technologií a nejméně 5 let prokázané odborné praxe v činnostech analytika kybernetické bezpečnosti.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Analytik/analytička kybernetické bezpečnosti (18-016-T), vysokoškolské vzdělání magisterského stupně a nejméně 5 let prokázané odborné praxe v činnostech analytika kybernetické bezpečnosti.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7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Učebna odpovídající bezpečnostním a hygienickým předpisům, stoly, židle, 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 případových studií,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595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5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0254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5818A5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959622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338D56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E7E5C4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