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7C96C" Type="http://schemas.openxmlformats.org/officeDocument/2006/relationships/officeDocument" Target="/word/document.xml" /><Relationship Id="coreR1A87C96C" Type="http://schemas.openxmlformats.org/package/2006/relationships/metadata/core-properties" Target="/docProps/core.xml" /><Relationship Id="customR1A87C9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technických prostředků kybernetické bezpečnosti (security devices) v analýze kybernetických hrozeb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informací o kybernetických hrozbách –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09.07.2026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11.7.2026 23:06:31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12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72" w:y="1123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8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4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48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48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48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48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48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48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48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7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7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71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71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7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71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71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71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71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71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19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51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96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9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96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96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96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96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96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96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9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9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219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219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21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24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670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6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67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6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6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67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6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67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26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26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93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66" w:y="126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8304" w:y="12670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291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29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29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291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291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291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291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291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2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291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291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291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291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1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15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1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1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150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150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150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150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1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15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3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3620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36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362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3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362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3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36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362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362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3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73" w:h="230" w:hRule="exact" w:wrap="none" w:vAnchor="page" w:hAnchor="margin" w:x="7536" w:y="1362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138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27" w:h="230" w:hRule="exact" w:wrap="none" w:vAnchor="page" w:hAnchor="margin" w:x="388" w:y="1387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1358" w:y="1387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848" w:y="1387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2692" w:y="1387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437" w:h="230" w:hRule="exact" w:wrap="none" w:vAnchor="page" w:hAnchor="margin" w:x="3571" w:y="13870"/>
        <w:rPr>
          <w:rStyle w:val="C21"/>
          <w:rtl w:val="0"/>
        </w:rPr>
      </w:pPr>
      <w:r>
        <w:rPr>
          <w:rStyle w:val="C21"/>
          <w:rtl w:val="0"/>
        </w:rPr>
        <w:t>úkol.</w:t>
      </w:r>
    </w:p>
    <w:p>
      <w:pPr>
        <w:pStyle w:val="P28"/>
        <w:framePr w:w="73" w:h="230" w:hRule="exact" w:wrap="none" w:vAnchor="page" w:hAnchor="margin" w:x="28" w:y="14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434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4340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434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4340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59" w:y="14340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148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148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148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61" w:h="230" w:hRule="exact" w:wrap="none" w:vAnchor="page" w:hAnchor="margin" w:x="2836" w:y="14811"/>
        <w:rPr>
          <w:rStyle w:val="C20"/>
          <w:rtl w:val="0"/>
        </w:rPr>
      </w:pPr>
      <w:r>
        <w:rPr>
          <w:rStyle w:val="C20"/>
          <w:rtl w:val="0"/>
        </w:rPr>
        <w:t>Sběr</w:t>
      </w:r>
    </w:p>
    <w:p>
      <w:pPr>
        <w:pStyle w:val="P27"/>
        <w:framePr w:w="317" w:h="230" w:hRule="exact" w:wrap="none" w:vAnchor="page" w:hAnchor="margin" w:x="3340" w:y="148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700" w:y="148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73" w:y="1481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4651" w:y="148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1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414" w:y="1481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34" w:h="230" w:hRule="exact" w:wrap="none" w:vAnchor="page" w:hAnchor="margin" w:x="6115" w:y="14811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7392" w:y="148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30"/>
        <w:framePr w:w="73" w:h="230" w:hRule="exact" w:wrap="none" w:vAnchor="page" w:hAnchor="margin" w:x="8544" w:y="14811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8"/>
        <w:framePr w:w="783" w:h="230" w:hRule="exact" w:wrap="none" w:vAnchor="page" w:hAnchor="margin" w:x="8659" w:y="148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84" w:y="1481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1833" w:y="15041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2481" w:y="150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2654" w:y="15041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3600" w:y="15041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4248" w:y="150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406" w:y="1504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4929" w:y="1504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131" w:y="15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932" w:y="150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216" w:y="1504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7008" w:y="1504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785" w:y="1504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8390" w:y="15041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9259" w:y="1504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4" w:y="15271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1564" w:y="1527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2376" w:y="15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3177" w:y="1527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4003" w:y="15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286" w:y="15271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4833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06" w:y="1527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5875" w:y="15271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6700" w:y="152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859" w:y="15271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7627" w:y="1527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55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11.7.2026 23:06:31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11.7.2026 23:06:31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Národním úřadem pro kybernetickou a informační bezpečnost 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11.7.2026 23:06:31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B0A3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