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46A0F" Type="http://schemas.openxmlformats.org/officeDocument/2006/relationships/officeDocument" Target="/word/document.xml" /><Relationship Id="coreR7B546A0F" Type="http://schemas.openxmlformats.org/package/2006/relationships/metadata/core-properties" Target="/docProps/core.xml" /><Relationship Id="customR7B546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dat,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42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78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1"/>
        <w:rPr>
          <w:rStyle w:val="C11"/>
          <w:rtl w:val="0"/>
        </w:rPr>
      </w:pPr>
      <w:r>
        <w:rPr>
          <w:rStyle w:val="C11"/>
          <w:rtl w:val="0"/>
        </w:rPr>
        <w:t>a) Popsat principy a procesy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8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8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08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2"/>
        <w:rPr>
          <w:rStyle w:val="C13"/>
          <w:rtl w:val="0"/>
        </w:rPr>
      </w:pPr>
      <w:r>
        <w:rPr>
          <w:rStyle w:val="C13"/>
          <w:rtl w:val="0"/>
        </w:rPr>
        <w:t>b) Prokázat orientaci v pojmech a procesech CSIRT týmů (ve smyslu RFC 2350)</w:t>
      </w:r>
    </w:p>
    <w:p>
      <w:pPr>
        <w:pStyle w:val="P30"/>
        <w:framePr w:w="3921" w:h="607" w:hRule="exact" w:wrap="none" w:vAnchor="page" w:hAnchor="margin" w:x="6800" w:y="118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orientaci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orientaci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Prokázat orientaci v principech stanovení aktiv včetně určení jejich hodnoty, hrozeb, zranitelností, dopadů, odpovědností a opatření v rámci kybernetické bezpečnosti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094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7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1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7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8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3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93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 a popsat možnosti jejich uplatnění</w:t>
      </w:r>
    </w:p>
    <w:p>
      <w:pPr>
        <w:pStyle w:val="P30"/>
        <w:framePr w:w="3921" w:h="831" w:hRule="exact" w:wrap="none" w:vAnchor="page" w:hAnchor="margin" w:x="6800" w:y="1293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824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7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8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55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181/2014 Sb., o kybernetické bezpečnosti a o změně souvisejících zákonů, ve znění pozdějších předpisů (přístup na základě analýzy rizik, přiměřenosti)</w:t>
      </w:r>
    </w:p>
    <w:p>
      <w:pPr>
        <w:pStyle w:val="P28"/>
        <w:framePr w:w="3921" w:h="1055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1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467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82/2018 Sb., o bezpečnostních opatřeních, kybernetických bezpečnostních incidentech, reaktivních opatřeních, náležitostech podání v oblasti kybernetické bezpečnosti a likvidaci dat</w:t>
      </w:r>
    </w:p>
    <w:p>
      <w:pPr>
        <w:pStyle w:val="P28"/>
        <w:framePr w:w="3921" w:h="1280" w:hRule="exact" w:wrap="none" w:vAnchor="page" w:hAnchor="margin" w:x="6800" w:y="841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7046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329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977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150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961" w:y="1171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355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218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218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4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41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41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41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41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4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886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8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886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88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886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31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3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31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31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31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31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31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31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31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31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31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31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31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31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336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3366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3366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3366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3366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3366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36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60" w:h="230" w:hRule="exact" w:wrap="none" w:vAnchor="page" w:hAnchor="margin" w:x="388" w:y="13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36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36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3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3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36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36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36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36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0"/>
        <w:framePr w:w="375" w:h="245" w:hRule="exact" w:wrap="none" w:vAnchor="page" w:hAnchor="margin" w:x="28" w:y="138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86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8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86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8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86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86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86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8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86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8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8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40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7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56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5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56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5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56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56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56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56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566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56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566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5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5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5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5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5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5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79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7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7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7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79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2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526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52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5267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526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52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5267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52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52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5267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5267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526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54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549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217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217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217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217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217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5904" w:y="21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2423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242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242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242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242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2423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2423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2423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242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26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920" w:y="2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90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90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2903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290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2903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290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290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290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290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290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290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290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313" w:y="29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315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315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315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315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315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31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31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31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950" w:y="31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3402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3402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3402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3402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34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34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340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34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34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374" w:y="34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36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387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3873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3873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38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3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38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387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3873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38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387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990" w:y="38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38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4103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41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4103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410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435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435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435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435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435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43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43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43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5904" w:y="43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45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4602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4602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460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46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460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460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4602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4602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4602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46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483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48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1920" w:y="48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0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5082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5082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5082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5082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5082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5082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5082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508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508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508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508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5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508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05" w:h="230" w:hRule="exact" w:wrap="none" w:vAnchor="page" w:hAnchor="margin" w:x="8313" w:y="508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5332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5332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5332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533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533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533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533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53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533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950" w:y="533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5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5581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5581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5581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5581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5581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5581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5581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55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55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374" w:y="55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581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8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81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81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8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58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581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5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58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58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581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5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581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581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58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6047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6047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62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5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51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5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5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5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5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5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51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651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651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651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651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67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67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7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7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76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76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76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76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76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76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76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76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76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9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9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99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99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99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9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99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99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9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99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99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99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7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7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724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724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724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724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724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724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7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724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724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72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7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47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47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47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77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77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77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77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7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7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7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77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7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7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772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819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8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819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81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819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819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819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819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819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819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819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673" w:h="230" w:hRule="exact" w:wrap="none" w:vAnchor="page" w:hAnchor="margin" w:x="8371" w:y="8197"/>
        <w:rPr>
          <w:rStyle w:val="C28"/>
          <w:rtl w:val="0"/>
        </w:rPr>
      </w:pPr>
      <w:r>
        <w:rPr>
          <w:rStyle w:val="C28"/>
          <w:rtl w:val="0"/>
        </w:rPr>
        <w:t>ověřen</w:t>
      </w:r>
    </w:p>
    <w:p>
      <w:pPr>
        <w:pStyle w:val="P38"/>
        <w:framePr w:w="197" w:h="230" w:hRule="exact" w:wrap="none" w:vAnchor="page" w:hAnchor="margin" w:x="9028" w:y="8197"/>
        <w:rPr>
          <w:rStyle w:val="C27"/>
          <w:rtl w:val="0"/>
        </w:rPr>
      </w:pPr>
      <w:r>
        <w:rPr>
          <w:rStyle w:val="C27"/>
          <w:rtl w:val="0"/>
        </w:rPr>
        <w:t>í":</w:t>
      </w:r>
    </w:p>
    <w:p>
      <w:pPr>
        <w:pStyle w:val="P40"/>
        <w:framePr w:w="375" w:h="245" w:hRule="exact" w:wrap="none" w:vAnchor="page" w:hAnchor="margin" w:x="28" w:y="84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4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844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844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84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84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844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844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84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844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844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844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844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844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844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86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86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86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867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867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867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867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867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89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89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89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89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89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89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89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89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89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892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892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892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89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8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9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91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9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962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962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962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962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962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962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9628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98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9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850" w:h="230" w:hRule="exact" w:wrap="none" w:vAnchor="page" w:hAnchor="margin" w:x="2836" w:y="986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3729" w:y="986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4651" w:y="986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4934" w:y="986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5601" w:y="986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6691" w:y="986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138" w:h="230" w:hRule="exact" w:wrap="none" w:vAnchor="page" w:hAnchor="margin" w:x="7867" w:y="9863"/>
        <w:rPr>
          <w:rStyle w:val="C31"/>
          <w:rtl w:val="0"/>
        </w:rPr>
      </w:pPr>
      <w:r>
        <w:rPr>
          <w:rStyle w:val="C31"/>
          <w:rtl w:val="0"/>
        </w:rPr>
        <w:t>bezpečnosti,</w:t>
      </w:r>
    </w:p>
    <w:p>
      <w:pPr>
        <w:pStyle w:val="P38"/>
        <w:framePr w:w="783" w:h="230" w:hRule="exact" w:wrap="none" w:vAnchor="page" w:hAnchor="margin" w:x="9048" w:y="9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873" w:y="98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0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09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09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09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09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0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0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0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0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09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09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09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09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032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032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0324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03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032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03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0324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0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0324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0324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7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7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7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7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7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7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0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0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0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0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0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0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0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0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0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7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7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architekta kybernetické bezpečnosti.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9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23:04:36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82F6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19B9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B6E5C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4F83E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